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52" w:rsidRDefault="00863969">
      <w:pPr>
        <w:jc w:val="center"/>
        <w:rPr>
          <w:rFonts w:ascii="Arial" w:hAnsi="Arial" w:cs="Arial"/>
          <w:b/>
          <w:color w:val="505050"/>
          <w:sz w:val="40"/>
          <w:szCs w:val="40"/>
          <w:lang w:val="en-US"/>
        </w:rPr>
      </w:pPr>
      <w:bookmarkStart w:id="0" w:name="_GoBack"/>
      <w:bookmarkEnd w:id="0"/>
      <w:r>
        <w:rPr>
          <w:rFonts w:ascii="Arial" w:hAnsi="Arial" w:cs="Arial"/>
          <w:b/>
          <w:color w:val="505050"/>
          <w:sz w:val="40"/>
          <w:szCs w:val="40"/>
          <w:lang w:val="en-US"/>
        </w:rPr>
        <w:t>INSTITUTIONS AND INTERNATIONAL BUSINESS</w:t>
      </w:r>
    </w:p>
    <w:p w:rsidR="00091052" w:rsidRDefault="00091052">
      <w:pPr>
        <w:rPr>
          <w:rFonts w:ascii="NexusSansPro" w:hAnsi="NexusSansPro"/>
          <w:color w:val="505050"/>
          <w:sz w:val="30"/>
          <w:szCs w:val="30"/>
          <w:lang w:val="en-US"/>
        </w:rPr>
      </w:pPr>
    </w:p>
    <w:p w:rsidR="00091052" w:rsidRDefault="00863969">
      <w:pPr>
        <w:jc w:val="center"/>
        <w:rPr>
          <w:rFonts w:ascii="Arial" w:hAnsi="Arial" w:cs="Arial"/>
          <w:b/>
          <w:color w:val="505050"/>
          <w:sz w:val="30"/>
          <w:szCs w:val="30"/>
          <w:lang w:val="en-US"/>
        </w:rPr>
      </w:pPr>
      <w:r>
        <w:rPr>
          <w:rFonts w:ascii="Arial" w:hAnsi="Arial" w:cs="Arial"/>
          <w:b/>
          <w:color w:val="505050"/>
          <w:sz w:val="30"/>
          <w:szCs w:val="30"/>
          <w:lang w:val="en-US"/>
        </w:rPr>
        <w:t>Course Aim and Scope</w:t>
      </w:r>
    </w:p>
    <w:p w:rsidR="00091052" w:rsidRDefault="00863969">
      <w:pPr>
        <w:jc w:val="both"/>
        <w:rPr>
          <w:rFonts w:ascii="Arial" w:hAnsi="Arial" w:cs="Arial"/>
          <w:color w:val="505050"/>
          <w:sz w:val="30"/>
          <w:szCs w:val="30"/>
          <w:lang w:val="en-US"/>
        </w:rPr>
      </w:pPr>
      <w:r>
        <w:rPr>
          <w:rFonts w:ascii="Arial" w:hAnsi="Arial" w:cs="Arial"/>
          <w:color w:val="505050"/>
          <w:sz w:val="30"/>
          <w:szCs w:val="30"/>
          <w:lang w:val="en-US"/>
        </w:rPr>
        <w:t xml:space="preserve">The aim of the course is to introduce students to the institutional perspective of international business. Institutional </w:t>
      </w:r>
      <w:r>
        <w:rPr>
          <w:rFonts w:ascii="Arial" w:hAnsi="Arial" w:cs="Arial"/>
          <w:color w:val="505050"/>
          <w:sz w:val="30"/>
          <w:szCs w:val="30"/>
          <w:lang w:val="en-US"/>
        </w:rPr>
        <w:t>theory based mainly on the work of Douglas North and Scott argues that both formal rules, such as the constitution of a country and its legal framework, and informal constraints, such as the customs of the country and its self-imposed rules of conduct, nee</w:t>
      </w:r>
      <w:r>
        <w:rPr>
          <w:rFonts w:ascii="Arial" w:hAnsi="Arial" w:cs="Arial"/>
          <w:color w:val="505050"/>
          <w:sz w:val="30"/>
          <w:szCs w:val="30"/>
          <w:lang w:val="en-US"/>
        </w:rPr>
        <w:t>d to be understood in the assessment of the business potential of a country. Business potential on the other hand is closely related to the country’s attraction to foreign business entering in various entry modes into the host market.  It has been widely e</w:t>
      </w:r>
      <w:r>
        <w:rPr>
          <w:rFonts w:ascii="Arial" w:hAnsi="Arial" w:cs="Arial"/>
          <w:color w:val="505050"/>
          <w:sz w:val="30"/>
          <w:szCs w:val="30"/>
          <w:lang w:val="en-US"/>
        </w:rPr>
        <w:t>stablished that some countries are more successful than others in attracting foreign business, whereas other countries perform better in terms of productivity and innovation.  In turn foreign business entering a host market influence its business potential</w:t>
      </w:r>
      <w:r>
        <w:rPr>
          <w:rFonts w:ascii="Arial" w:hAnsi="Arial" w:cs="Arial"/>
          <w:color w:val="505050"/>
          <w:sz w:val="30"/>
          <w:szCs w:val="30"/>
          <w:lang w:val="en-US"/>
        </w:rPr>
        <w:t xml:space="preserve"> through affecting the institutional establishment.</w:t>
      </w:r>
    </w:p>
    <w:p w:rsidR="00091052" w:rsidRDefault="00863969">
      <w:pPr>
        <w:jc w:val="both"/>
        <w:rPr>
          <w:rFonts w:ascii="Arial" w:hAnsi="Arial" w:cs="Arial"/>
          <w:color w:val="505050"/>
          <w:sz w:val="30"/>
          <w:szCs w:val="30"/>
          <w:lang w:val="en-US"/>
        </w:rPr>
      </w:pPr>
      <w:r>
        <w:rPr>
          <w:rFonts w:ascii="Arial" w:hAnsi="Arial" w:cs="Arial"/>
          <w:color w:val="505050"/>
          <w:sz w:val="30"/>
          <w:szCs w:val="30"/>
          <w:lang w:val="en-US"/>
        </w:rPr>
        <w:t>The course employs elements of both institutional theory and international business theory to develop an institutional perspective of international business strategy at both the country and company level.</w:t>
      </w:r>
      <w:r>
        <w:rPr>
          <w:rFonts w:ascii="Arial" w:hAnsi="Arial" w:cs="Arial"/>
          <w:color w:val="505050"/>
          <w:sz w:val="30"/>
          <w:szCs w:val="30"/>
          <w:lang w:val="en-US"/>
        </w:rPr>
        <w:t> </w:t>
      </w:r>
    </w:p>
    <w:p w:rsidR="00091052" w:rsidRDefault="00863969">
      <w:pPr>
        <w:jc w:val="center"/>
        <w:rPr>
          <w:rFonts w:ascii="Arial" w:hAnsi="Arial" w:cs="Arial"/>
          <w:b/>
          <w:bCs/>
          <w:color w:val="505050"/>
          <w:sz w:val="30"/>
          <w:szCs w:val="30"/>
          <w:lang w:val="en-US"/>
        </w:rPr>
      </w:pPr>
      <w:r>
        <w:rPr>
          <w:rFonts w:ascii="Arial" w:hAnsi="Arial" w:cs="Arial"/>
          <w:b/>
          <w:bCs/>
          <w:color w:val="505050"/>
          <w:sz w:val="30"/>
          <w:szCs w:val="30"/>
          <w:lang w:val="en-US"/>
        </w:rPr>
        <w:t>Course Syllabus</w:t>
      </w:r>
    </w:p>
    <w:p w:rsidR="00091052" w:rsidRPr="004B6B5B" w:rsidRDefault="00863969">
      <w:pPr>
        <w:spacing w:line="240" w:lineRule="auto"/>
        <w:jc w:val="both"/>
        <w:rPr>
          <w:lang w:val="en-US"/>
        </w:rPr>
      </w:pPr>
      <w:r>
        <w:rPr>
          <w:rFonts w:ascii="Arial" w:hAnsi="Arial" w:cs="Arial"/>
          <w:color w:val="505050"/>
          <w:sz w:val="30"/>
          <w:szCs w:val="30"/>
          <w:lang w:val="en-US"/>
        </w:rPr>
        <w:t xml:space="preserve">The course explores the following dimensions:  </w:t>
      </w:r>
      <w:r>
        <w:rPr>
          <w:rFonts w:ascii="Arial" w:hAnsi="Arial" w:cs="Arial"/>
          <w:b/>
          <w:bCs/>
          <w:color w:val="505050"/>
          <w:sz w:val="30"/>
          <w:szCs w:val="30"/>
          <w:lang w:val="en-US"/>
        </w:rPr>
        <w:t>First,</w:t>
      </w:r>
      <w:r>
        <w:rPr>
          <w:rFonts w:ascii="Arial" w:hAnsi="Arial" w:cs="Arial"/>
          <w:color w:val="505050"/>
          <w:sz w:val="30"/>
          <w:szCs w:val="30"/>
          <w:lang w:val="en-US"/>
        </w:rPr>
        <w:t xml:space="preserve"> the </w:t>
      </w:r>
      <w:r>
        <w:rPr>
          <w:rFonts w:ascii="Arial" w:hAnsi="Arial" w:cs="Arial"/>
          <w:b/>
          <w:bCs/>
          <w:color w:val="505050"/>
          <w:sz w:val="30"/>
          <w:szCs w:val="30"/>
          <w:lang w:val="en-US"/>
        </w:rPr>
        <w:t>institutional perspective</w:t>
      </w:r>
      <w:r>
        <w:rPr>
          <w:rFonts w:ascii="Arial" w:hAnsi="Arial" w:cs="Arial"/>
          <w:color w:val="505050"/>
          <w:sz w:val="30"/>
          <w:szCs w:val="30"/>
          <w:lang w:val="en-US"/>
        </w:rPr>
        <w:t xml:space="preserve"> concept.  Institutions may be categorized in three broad categories, i.e., normative, regulative, and cultural-cognitive.  Institutional processes derive </w:t>
      </w:r>
      <w:r>
        <w:rPr>
          <w:rFonts w:ascii="Arial" w:hAnsi="Arial" w:cs="Arial"/>
          <w:color w:val="505050"/>
          <w:sz w:val="30"/>
          <w:szCs w:val="30"/>
          <w:lang w:val="en-US"/>
        </w:rPr>
        <w:t>from collective experience, education, social norms and mimetic social rules.   The institutional perspective covers policy perspectives, leadership, management, professionalism at both the country and company level. In addition, it includes the beliefs, c</w:t>
      </w:r>
      <w:r>
        <w:rPr>
          <w:rFonts w:ascii="Arial" w:hAnsi="Arial" w:cs="Arial"/>
          <w:color w:val="505050"/>
          <w:sz w:val="30"/>
          <w:szCs w:val="30"/>
          <w:lang w:val="en-US"/>
        </w:rPr>
        <w:t>odes, culture, and knowledge that support rules and routines. In the context of international business, the exploratin should be extended to international institutions that provide policies and guidance on institutional development.</w:t>
      </w:r>
    </w:p>
    <w:p w:rsidR="00091052" w:rsidRPr="004B6B5B" w:rsidRDefault="00863969">
      <w:pPr>
        <w:spacing w:line="240" w:lineRule="auto"/>
        <w:jc w:val="both"/>
        <w:rPr>
          <w:lang w:val="en-US"/>
        </w:rPr>
      </w:pPr>
      <w:r>
        <w:rPr>
          <w:rFonts w:ascii="Arial" w:hAnsi="Arial" w:cs="Arial"/>
          <w:b/>
          <w:bCs/>
          <w:color w:val="505050"/>
          <w:sz w:val="30"/>
          <w:szCs w:val="30"/>
          <w:lang w:val="en-US"/>
        </w:rPr>
        <w:lastRenderedPageBreak/>
        <w:t xml:space="preserve">Second, </w:t>
      </w:r>
      <w:r>
        <w:rPr>
          <w:rFonts w:ascii="Arial" w:hAnsi="Arial" w:cs="Arial"/>
          <w:color w:val="505050"/>
          <w:sz w:val="30"/>
          <w:szCs w:val="30"/>
          <w:lang w:val="en-US"/>
        </w:rPr>
        <w:t>with regard the</w:t>
      </w:r>
      <w:r>
        <w:rPr>
          <w:rFonts w:ascii="Arial" w:hAnsi="Arial" w:cs="Arial"/>
          <w:color w:val="505050"/>
          <w:sz w:val="30"/>
          <w:szCs w:val="30"/>
          <w:lang w:val="en-US"/>
        </w:rPr>
        <w:t xml:space="preserve"> international business strategy firms include the institutional perspective in assisting their ability to gain knowledge and understand the institutional potential of a country, especially using the framework of institutional distance between home and pos</w:t>
      </w:r>
      <w:r>
        <w:rPr>
          <w:rFonts w:ascii="Arial" w:hAnsi="Arial" w:cs="Arial"/>
          <w:color w:val="505050"/>
          <w:sz w:val="30"/>
          <w:szCs w:val="30"/>
          <w:lang w:val="en-US"/>
        </w:rPr>
        <w:t xml:space="preserve">t country, its possible influence on the business potential and performance, and to design methods for adapting themselves to the host environment, and more importantly to explore their interaction with existing institutional structures aiming at changing </w:t>
      </w:r>
      <w:r>
        <w:rPr>
          <w:rFonts w:ascii="Arial" w:hAnsi="Arial" w:cs="Arial"/>
          <w:color w:val="505050"/>
          <w:sz w:val="30"/>
          <w:szCs w:val="30"/>
          <w:lang w:val="en-US"/>
        </w:rPr>
        <w:t xml:space="preserve">them in a dynamic way.  </w:t>
      </w:r>
    </w:p>
    <w:p w:rsidR="00091052" w:rsidRDefault="00863969">
      <w:pPr>
        <w:spacing w:line="240" w:lineRule="auto"/>
        <w:jc w:val="both"/>
        <w:rPr>
          <w:rFonts w:ascii="Arial" w:hAnsi="Arial" w:cs="Arial"/>
          <w:color w:val="505050"/>
          <w:sz w:val="30"/>
          <w:szCs w:val="30"/>
          <w:lang w:val="en-US"/>
        </w:rPr>
      </w:pPr>
      <w:r>
        <w:rPr>
          <w:rFonts w:ascii="Arial" w:hAnsi="Arial" w:cs="Arial"/>
          <w:color w:val="505050"/>
          <w:sz w:val="30"/>
          <w:szCs w:val="30"/>
          <w:lang w:val="en-US"/>
        </w:rPr>
        <w:t xml:space="preserve">This part of the course involves the exploration of how international business strategy analysis intertwine with the institutional and distance perspective using theories and models from both disciplines.  </w:t>
      </w:r>
    </w:p>
    <w:p w:rsidR="00091052" w:rsidRDefault="00863969">
      <w:pPr>
        <w:spacing w:line="240" w:lineRule="auto"/>
        <w:jc w:val="center"/>
        <w:rPr>
          <w:rFonts w:ascii="Arial" w:hAnsi="Arial" w:cs="Arial"/>
          <w:b/>
          <w:bCs/>
          <w:color w:val="505050"/>
          <w:sz w:val="30"/>
          <w:szCs w:val="30"/>
          <w:lang w:val="en-US"/>
        </w:rPr>
      </w:pPr>
      <w:r>
        <w:rPr>
          <w:rFonts w:ascii="Arial" w:hAnsi="Arial" w:cs="Arial"/>
          <w:b/>
          <w:bCs/>
          <w:color w:val="505050"/>
          <w:sz w:val="30"/>
          <w:szCs w:val="30"/>
          <w:lang w:val="en-US"/>
        </w:rPr>
        <w:t>Course Learning Outcome</w:t>
      </w:r>
    </w:p>
    <w:p w:rsidR="00091052" w:rsidRDefault="00863969">
      <w:pPr>
        <w:jc w:val="both"/>
        <w:rPr>
          <w:rFonts w:ascii="Arial" w:hAnsi="Arial" w:cs="Arial"/>
          <w:sz w:val="28"/>
          <w:szCs w:val="28"/>
          <w:lang w:val="en-US"/>
        </w:rPr>
      </w:pPr>
      <w:r>
        <w:rPr>
          <w:rFonts w:ascii="Arial" w:hAnsi="Arial" w:cs="Arial"/>
          <w:sz w:val="28"/>
          <w:szCs w:val="28"/>
          <w:lang w:val="en-US"/>
        </w:rPr>
        <w:t>Students would acquire a good understanding of:</w:t>
      </w:r>
    </w:p>
    <w:p w:rsidR="00091052" w:rsidRDefault="00863969">
      <w:pPr>
        <w:pStyle w:val="a3"/>
        <w:numPr>
          <w:ilvl w:val="0"/>
          <w:numId w:val="1"/>
        </w:numPr>
        <w:jc w:val="both"/>
        <w:rPr>
          <w:rFonts w:ascii="Arial" w:hAnsi="Arial" w:cs="Arial"/>
          <w:sz w:val="28"/>
          <w:szCs w:val="28"/>
          <w:lang w:val="en-US"/>
        </w:rPr>
      </w:pPr>
      <w:r>
        <w:rPr>
          <w:rFonts w:ascii="Arial" w:hAnsi="Arial" w:cs="Arial"/>
          <w:sz w:val="28"/>
          <w:szCs w:val="28"/>
          <w:lang w:val="en-US"/>
        </w:rPr>
        <w:t>How institutions affect the economy, the growth and business potential of a country.</w:t>
      </w:r>
    </w:p>
    <w:p w:rsidR="00091052" w:rsidRPr="004B6B5B" w:rsidRDefault="00863969">
      <w:pPr>
        <w:pStyle w:val="a3"/>
        <w:numPr>
          <w:ilvl w:val="0"/>
          <w:numId w:val="1"/>
        </w:numPr>
        <w:jc w:val="both"/>
        <w:rPr>
          <w:lang w:val="en-US"/>
        </w:rPr>
      </w:pPr>
      <w:r>
        <w:rPr>
          <w:rFonts w:ascii="Arial" w:hAnsi="Arial" w:cs="Arial"/>
          <w:sz w:val="28"/>
          <w:szCs w:val="28"/>
          <w:lang w:val="en-US"/>
        </w:rPr>
        <w:t xml:space="preserve">How international investment strategies of Multinational Enterprises (MNEs) are affected by, </w:t>
      </w:r>
      <w:r>
        <w:rPr>
          <w:rFonts w:ascii="Arial" w:hAnsi="Arial" w:cs="Arial"/>
          <w:b/>
          <w:bCs/>
          <w:sz w:val="28"/>
          <w:szCs w:val="28"/>
          <w:lang w:val="en-US"/>
        </w:rPr>
        <w:t>first</w:t>
      </w:r>
      <w:r>
        <w:rPr>
          <w:rFonts w:ascii="Arial" w:hAnsi="Arial" w:cs="Arial"/>
          <w:sz w:val="28"/>
          <w:szCs w:val="28"/>
          <w:lang w:val="en-US"/>
        </w:rPr>
        <w:t>, the institutional persp</w:t>
      </w:r>
      <w:r>
        <w:rPr>
          <w:rFonts w:ascii="Arial" w:hAnsi="Arial" w:cs="Arial"/>
          <w:sz w:val="28"/>
          <w:szCs w:val="28"/>
          <w:lang w:val="en-US"/>
        </w:rPr>
        <w:t xml:space="preserve">ective, and, </w:t>
      </w:r>
      <w:r>
        <w:rPr>
          <w:rFonts w:ascii="Arial" w:hAnsi="Arial" w:cs="Arial"/>
          <w:b/>
          <w:bCs/>
          <w:sz w:val="28"/>
          <w:szCs w:val="28"/>
          <w:lang w:val="en-US"/>
        </w:rPr>
        <w:t>second</w:t>
      </w:r>
      <w:r>
        <w:rPr>
          <w:rFonts w:ascii="Arial" w:hAnsi="Arial" w:cs="Arial"/>
          <w:sz w:val="28"/>
          <w:szCs w:val="28"/>
          <w:lang w:val="en-US"/>
        </w:rPr>
        <w:t>, by the institutional and general distance between home and host countries.</w:t>
      </w:r>
    </w:p>
    <w:p w:rsidR="00091052" w:rsidRDefault="00863969">
      <w:pPr>
        <w:jc w:val="center"/>
        <w:rPr>
          <w:rFonts w:ascii="Arial" w:hAnsi="Arial" w:cs="Arial"/>
          <w:b/>
          <w:bCs/>
          <w:color w:val="505050"/>
          <w:sz w:val="30"/>
          <w:szCs w:val="30"/>
          <w:lang w:val="en-US"/>
        </w:rPr>
      </w:pPr>
      <w:r>
        <w:rPr>
          <w:rFonts w:ascii="Arial" w:hAnsi="Arial" w:cs="Arial"/>
          <w:b/>
          <w:bCs/>
          <w:color w:val="505050"/>
          <w:sz w:val="30"/>
          <w:szCs w:val="30"/>
          <w:lang w:val="en-US"/>
        </w:rPr>
        <w:t>Course Assessment</w:t>
      </w:r>
    </w:p>
    <w:p w:rsidR="00091052" w:rsidRPr="004B6B5B" w:rsidRDefault="00863969">
      <w:pPr>
        <w:jc w:val="both"/>
        <w:rPr>
          <w:lang w:val="en-US"/>
        </w:rPr>
      </w:pPr>
      <w:r>
        <w:rPr>
          <w:rFonts w:ascii="Arial" w:hAnsi="Arial" w:cs="Arial"/>
          <w:color w:val="505050"/>
          <w:sz w:val="30"/>
          <w:szCs w:val="30"/>
          <w:lang w:val="en-US"/>
        </w:rPr>
        <w:t xml:space="preserve">The course would be assessed by, </w:t>
      </w:r>
      <w:r>
        <w:rPr>
          <w:rFonts w:ascii="Arial" w:hAnsi="Arial" w:cs="Arial"/>
          <w:b/>
          <w:bCs/>
          <w:color w:val="505050"/>
          <w:sz w:val="30"/>
          <w:szCs w:val="30"/>
          <w:lang w:val="en-US"/>
        </w:rPr>
        <w:t>first</w:t>
      </w:r>
      <w:r>
        <w:rPr>
          <w:rFonts w:ascii="Arial" w:hAnsi="Arial" w:cs="Arial"/>
          <w:color w:val="505050"/>
          <w:sz w:val="30"/>
          <w:szCs w:val="30"/>
          <w:lang w:val="en-US"/>
        </w:rPr>
        <w:t xml:space="preserve">, a long essay written during the course, </w:t>
      </w:r>
      <w:r>
        <w:rPr>
          <w:rFonts w:ascii="Arial" w:hAnsi="Arial" w:cs="Arial"/>
          <w:b/>
          <w:bCs/>
          <w:color w:val="505050"/>
          <w:sz w:val="30"/>
          <w:szCs w:val="30"/>
          <w:lang w:val="en-US"/>
        </w:rPr>
        <w:t>second</w:t>
      </w:r>
      <w:r>
        <w:rPr>
          <w:rFonts w:ascii="Arial" w:hAnsi="Arial" w:cs="Arial"/>
          <w:color w:val="505050"/>
          <w:sz w:val="30"/>
          <w:szCs w:val="30"/>
          <w:lang w:val="en-US"/>
        </w:rPr>
        <w:t xml:space="preserve">, a final exam paper, and </w:t>
      </w:r>
      <w:r>
        <w:rPr>
          <w:rFonts w:ascii="Arial" w:hAnsi="Arial" w:cs="Arial"/>
          <w:b/>
          <w:bCs/>
          <w:color w:val="505050"/>
          <w:sz w:val="30"/>
          <w:szCs w:val="30"/>
          <w:lang w:val="en-US"/>
        </w:rPr>
        <w:t>third</w:t>
      </w:r>
      <w:r>
        <w:rPr>
          <w:rFonts w:ascii="Arial" w:hAnsi="Arial" w:cs="Arial"/>
          <w:color w:val="505050"/>
          <w:sz w:val="30"/>
          <w:szCs w:val="30"/>
          <w:lang w:val="en-US"/>
        </w:rPr>
        <w:t>, the presentation of the</w:t>
      </w:r>
      <w:r>
        <w:rPr>
          <w:rFonts w:ascii="Arial" w:hAnsi="Arial" w:cs="Arial"/>
          <w:color w:val="505050"/>
          <w:sz w:val="30"/>
          <w:szCs w:val="30"/>
          <w:lang w:val="en-US"/>
        </w:rPr>
        <w:t xml:space="preserve"> essay. The contribution of each assessment method is as it follows:</w:t>
      </w:r>
    </w:p>
    <w:p w:rsidR="00091052" w:rsidRDefault="00863969">
      <w:pPr>
        <w:jc w:val="both"/>
        <w:rPr>
          <w:rFonts w:ascii="Arial" w:hAnsi="Arial" w:cs="Arial"/>
          <w:color w:val="505050"/>
          <w:sz w:val="30"/>
          <w:szCs w:val="30"/>
          <w:lang w:val="en-US"/>
        </w:rPr>
      </w:pPr>
      <w:r>
        <w:rPr>
          <w:rFonts w:ascii="Arial" w:hAnsi="Arial" w:cs="Arial"/>
          <w:color w:val="505050"/>
          <w:sz w:val="30"/>
          <w:szCs w:val="30"/>
          <w:lang w:val="en-US"/>
        </w:rPr>
        <w:t>The essay would account for the 40 per cent of the overall grade.</w:t>
      </w:r>
    </w:p>
    <w:p w:rsidR="00091052" w:rsidRDefault="00863969">
      <w:pPr>
        <w:jc w:val="both"/>
        <w:rPr>
          <w:rFonts w:ascii="Arial" w:hAnsi="Arial" w:cs="Arial"/>
          <w:color w:val="505050"/>
          <w:sz w:val="30"/>
          <w:szCs w:val="30"/>
          <w:lang w:val="en-US"/>
        </w:rPr>
      </w:pPr>
      <w:r>
        <w:rPr>
          <w:rFonts w:ascii="Arial" w:hAnsi="Arial" w:cs="Arial"/>
          <w:color w:val="505050"/>
          <w:sz w:val="30"/>
          <w:szCs w:val="30"/>
          <w:lang w:val="en-US"/>
        </w:rPr>
        <w:t>The presentation of the essay would account for 20 per cent of the overall grade.</w:t>
      </w:r>
    </w:p>
    <w:p w:rsidR="00091052" w:rsidRDefault="00863969">
      <w:pPr>
        <w:jc w:val="both"/>
        <w:rPr>
          <w:rFonts w:ascii="Arial" w:hAnsi="Arial" w:cs="Arial"/>
          <w:color w:val="505050"/>
          <w:sz w:val="30"/>
          <w:szCs w:val="30"/>
          <w:lang w:val="en-US"/>
        </w:rPr>
      </w:pPr>
      <w:r>
        <w:rPr>
          <w:rFonts w:ascii="Arial" w:hAnsi="Arial" w:cs="Arial"/>
          <w:color w:val="505050"/>
          <w:sz w:val="30"/>
          <w:szCs w:val="30"/>
          <w:lang w:val="en-US"/>
        </w:rPr>
        <w:t xml:space="preserve">The final exam paper would account for </w:t>
      </w:r>
      <w:r>
        <w:rPr>
          <w:rFonts w:ascii="Arial" w:hAnsi="Arial" w:cs="Arial"/>
          <w:color w:val="505050"/>
          <w:sz w:val="30"/>
          <w:szCs w:val="30"/>
          <w:lang w:val="en-US"/>
        </w:rPr>
        <w:t>40 per cent of the overall grade.</w:t>
      </w:r>
    </w:p>
    <w:p w:rsidR="00091052" w:rsidRDefault="00863969">
      <w:pPr>
        <w:jc w:val="center"/>
        <w:rPr>
          <w:rFonts w:ascii="Arial" w:hAnsi="Arial" w:cs="Arial"/>
          <w:b/>
          <w:bCs/>
          <w:color w:val="505050"/>
          <w:sz w:val="30"/>
          <w:szCs w:val="30"/>
          <w:lang w:val="en-US"/>
        </w:rPr>
      </w:pPr>
      <w:r>
        <w:rPr>
          <w:rFonts w:ascii="Arial" w:hAnsi="Arial" w:cs="Arial"/>
          <w:b/>
          <w:bCs/>
          <w:color w:val="505050"/>
          <w:sz w:val="30"/>
          <w:szCs w:val="30"/>
          <w:lang w:val="en-US"/>
        </w:rPr>
        <w:t>References</w:t>
      </w:r>
    </w:p>
    <w:p w:rsidR="00091052" w:rsidRPr="004B6B5B" w:rsidRDefault="00863969">
      <w:pPr>
        <w:suppressAutoHyphens w:val="0"/>
        <w:autoSpaceDE w:val="0"/>
        <w:spacing w:after="0" w:line="240" w:lineRule="auto"/>
        <w:textAlignment w:val="auto"/>
        <w:rPr>
          <w:lang w:val="en-US"/>
        </w:rPr>
      </w:pPr>
      <w:r>
        <w:rPr>
          <w:rFonts w:ascii="Arial" w:hAnsi="Arial" w:cs="Arial"/>
          <w:sz w:val="28"/>
          <w:szCs w:val="28"/>
          <w:lang w:val="en-US"/>
        </w:rPr>
        <w:lastRenderedPageBreak/>
        <w:t xml:space="preserve">Dunning, J. H. (1993). </w:t>
      </w:r>
      <w:r>
        <w:rPr>
          <w:rFonts w:ascii="Arial" w:hAnsi="Arial" w:cs="Arial"/>
          <w:b/>
          <w:bCs/>
          <w:sz w:val="28"/>
          <w:szCs w:val="28"/>
          <w:lang w:val="en-US"/>
        </w:rPr>
        <w:t>The globalization of business</w:t>
      </w:r>
      <w:r>
        <w:rPr>
          <w:rFonts w:ascii="Arial" w:hAnsi="Arial" w:cs="Arial"/>
          <w:sz w:val="28"/>
          <w:szCs w:val="28"/>
          <w:lang w:val="en-US"/>
        </w:rPr>
        <w:t>. London, England: Routledge.</w:t>
      </w:r>
    </w:p>
    <w:p w:rsidR="00091052" w:rsidRPr="004B6B5B" w:rsidRDefault="00863969">
      <w:pPr>
        <w:suppressAutoHyphens w:val="0"/>
        <w:autoSpaceDE w:val="0"/>
        <w:spacing w:after="0" w:line="240" w:lineRule="auto"/>
        <w:textAlignment w:val="auto"/>
        <w:rPr>
          <w:lang w:val="en-US"/>
        </w:rPr>
      </w:pPr>
      <w:r>
        <w:rPr>
          <w:rFonts w:ascii="Arial" w:hAnsi="Arial" w:cs="Arial"/>
          <w:sz w:val="28"/>
          <w:szCs w:val="28"/>
          <w:lang w:val="en-US"/>
        </w:rPr>
        <w:t xml:space="preserve">Dunning, J. H. (2000). The eclectic paradigm as an envelope for economic and business theories of MNE activity. </w:t>
      </w:r>
      <w:r>
        <w:rPr>
          <w:rFonts w:ascii="Arial" w:hAnsi="Arial" w:cs="Arial"/>
          <w:i/>
          <w:iCs/>
          <w:sz w:val="28"/>
          <w:szCs w:val="28"/>
          <w:lang w:val="en-US"/>
        </w:rPr>
        <w:t>International Bus</w:t>
      </w:r>
      <w:r>
        <w:rPr>
          <w:rFonts w:ascii="Arial" w:hAnsi="Arial" w:cs="Arial"/>
          <w:i/>
          <w:iCs/>
          <w:sz w:val="28"/>
          <w:szCs w:val="28"/>
          <w:lang w:val="en-US"/>
        </w:rPr>
        <w:t>iness Review</w:t>
      </w:r>
      <w:r>
        <w:rPr>
          <w:rFonts w:ascii="Arial" w:hAnsi="Arial" w:cs="Arial"/>
          <w:sz w:val="28"/>
          <w:szCs w:val="28"/>
          <w:lang w:val="en-US"/>
        </w:rPr>
        <w:t xml:space="preserve">, </w:t>
      </w:r>
      <w:r>
        <w:rPr>
          <w:rFonts w:ascii="Arial" w:hAnsi="Arial" w:cs="Arial"/>
          <w:i/>
          <w:iCs/>
          <w:sz w:val="28"/>
          <w:szCs w:val="28"/>
          <w:lang w:val="en-US"/>
        </w:rPr>
        <w:t>9</w:t>
      </w:r>
      <w:r>
        <w:rPr>
          <w:rFonts w:ascii="Arial" w:hAnsi="Arial" w:cs="Arial"/>
          <w:sz w:val="28"/>
          <w:szCs w:val="28"/>
          <w:lang w:val="en-US"/>
        </w:rPr>
        <w:t>(1).</w:t>
      </w:r>
    </w:p>
    <w:p w:rsidR="00091052" w:rsidRPr="004B6B5B" w:rsidRDefault="00863969">
      <w:pPr>
        <w:suppressAutoHyphens w:val="0"/>
        <w:autoSpaceDE w:val="0"/>
        <w:spacing w:after="0" w:line="240" w:lineRule="auto"/>
        <w:textAlignment w:val="auto"/>
        <w:rPr>
          <w:lang w:val="en-US"/>
        </w:rPr>
      </w:pPr>
      <w:r>
        <w:rPr>
          <w:rFonts w:ascii="Arial" w:hAnsi="Arial" w:cs="Arial"/>
          <w:color w:val="000000"/>
          <w:sz w:val="28"/>
          <w:szCs w:val="28"/>
          <w:lang w:val="en-US"/>
        </w:rPr>
        <w:t xml:space="preserve">Dunning, J. H., &amp; Lundan, S. M. (2008). </w:t>
      </w:r>
      <w:r>
        <w:rPr>
          <w:rFonts w:ascii="Arial" w:hAnsi="Arial" w:cs="Arial"/>
          <w:i/>
          <w:iCs/>
          <w:sz w:val="28"/>
          <w:szCs w:val="28"/>
          <w:lang w:val="en-US"/>
        </w:rPr>
        <w:t xml:space="preserve">Multinational enterprises and the global economy </w:t>
      </w:r>
      <w:r>
        <w:rPr>
          <w:rFonts w:ascii="Arial" w:hAnsi="Arial" w:cs="Arial"/>
          <w:sz w:val="28"/>
          <w:szCs w:val="28"/>
          <w:lang w:val="en-US"/>
        </w:rPr>
        <w:t>(2nd ed.). Cheltenham, UK: Edward Elgar.</w:t>
      </w:r>
    </w:p>
    <w:p w:rsidR="00091052" w:rsidRPr="004B6B5B" w:rsidRDefault="00863969">
      <w:pPr>
        <w:suppressAutoHyphens w:val="0"/>
        <w:autoSpaceDE w:val="0"/>
        <w:spacing w:after="0" w:line="240" w:lineRule="auto"/>
        <w:textAlignment w:val="auto"/>
        <w:rPr>
          <w:lang w:val="en-US"/>
        </w:rPr>
      </w:pPr>
      <w:r>
        <w:rPr>
          <w:rFonts w:ascii="Arial" w:hAnsi="Arial" w:cs="Arial"/>
          <w:sz w:val="28"/>
          <w:szCs w:val="28"/>
          <w:lang w:val="en-US"/>
        </w:rPr>
        <w:t xml:space="preserve">Ghemawat, P. (2001): Distance Still Matters: The Hard Reality of Global Expansion, </w:t>
      </w:r>
      <w:r>
        <w:rPr>
          <w:rFonts w:ascii="Arial" w:hAnsi="Arial" w:cs="Arial"/>
          <w:i/>
          <w:iCs/>
          <w:sz w:val="28"/>
          <w:szCs w:val="28"/>
          <w:lang w:val="en-US"/>
        </w:rPr>
        <w:t>Harvard Business Review</w:t>
      </w:r>
      <w:r>
        <w:rPr>
          <w:rFonts w:ascii="Arial" w:hAnsi="Arial" w:cs="Arial"/>
          <w:sz w:val="28"/>
          <w:szCs w:val="28"/>
          <w:lang w:val="en-US"/>
        </w:rPr>
        <w:t>, September, p. 137- 147.</w:t>
      </w:r>
    </w:p>
    <w:p w:rsidR="00091052" w:rsidRPr="004B6B5B" w:rsidRDefault="00863969">
      <w:pPr>
        <w:suppressAutoHyphens w:val="0"/>
        <w:autoSpaceDE w:val="0"/>
        <w:spacing w:after="0" w:line="240" w:lineRule="auto"/>
        <w:textAlignment w:val="auto"/>
        <w:rPr>
          <w:lang w:val="en-US"/>
        </w:rPr>
      </w:pPr>
      <w:r>
        <w:rPr>
          <w:rFonts w:ascii="Arial" w:hAnsi="Arial" w:cs="Arial"/>
          <w:color w:val="333333"/>
          <w:sz w:val="28"/>
          <w:szCs w:val="28"/>
          <w:shd w:val="clear" w:color="auto" w:fill="FCFCFC"/>
          <w:lang w:val="en-US"/>
        </w:rPr>
        <w:t>Marinova, S. (2015). Institutions and International Business. In: Marinova, S. (eds)</w:t>
      </w:r>
      <w:r>
        <w:rPr>
          <w:rFonts w:ascii="Arial" w:hAnsi="Arial" w:cs="Arial"/>
          <w:b/>
          <w:bCs/>
          <w:color w:val="333333"/>
          <w:sz w:val="28"/>
          <w:szCs w:val="28"/>
          <w:shd w:val="clear" w:color="auto" w:fill="FCFCFC"/>
          <w:lang w:val="en-US"/>
        </w:rPr>
        <w:t xml:space="preserve"> Institutional Impacts on Firm Internationalization</w:t>
      </w:r>
      <w:r>
        <w:rPr>
          <w:rFonts w:ascii="Arial" w:hAnsi="Arial" w:cs="Arial"/>
          <w:color w:val="333333"/>
          <w:sz w:val="28"/>
          <w:szCs w:val="28"/>
          <w:shd w:val="clear" w:color="auto" w:fill="FCFCFC"/>
          <w:lang w:val="en-US"/>
        </w:rPr>
        <w:t>. Palgrave Macmillan, London. https://doi.org/10.1057/9781137446350_1</w:t>
      </w:r>
    </w:p>
    <w:p w:rsidR="00091052" w:rsidRPr="004B6B5B" w:rsidRDefault="00863969">
      <w:pPr>
        <w:suppressAutoHyphens w:val="0"/>
        <w:autoSpaceDE w:val="0"/>
        <w:spacing w:after="0" w:line="240" w:lineRule="auto"/>
        <w:textAlignment w:val="auto"/>
        <w:rPr>
          <w:lang w:val="en-US"/>
        </w:rPr>
      </w:pPr>
      <w:r>
        <w:rPr>
          <w:rFonts w:ascii="Arial" w:hAnsi="Arial" w:cs="Arial"/>
          <w:sz w:val="28"/>
          <w:szCs w:val="28"/>
          <w:lang w:val="en-US"/>
        </w:rPr>
        <w:t xml:space="preserve">North, D. C. (1990). </w:t>
      </w:r>
      <w:r>
        <w:rPr>
          <w:rFonts w:ascii="Arial" w:hAnsi="Arial" w:cs="Arial"/>
          <w:b/>
          <w:bCs/>
          <w:sz w:val="28"/>
          <w:szCs w:val="28"/>
          <w:lang w:val="en-US"/>
        </w:rPr>
        <w:t>Inst</w:t>
      </w:r>
      <w:r>
        <w:rPr>
          <w:rFonts w:ascii="Arial" w:hAnsi="Arial" w:cs="Arial"/>
          <w:b/>
          <w:bCs/>
          <w:sz w:val="28"/>
          <w:szCs w:val="28"/>
          <w:lang w:val="en-US"/>
        </w:rPr>
        <w:t>itutions, institutional change and economic performance.</w:t>
      </w:r>
      <w:r>
        <w:rPr>
          <w:rFonts w:ascii="Arial" w:hAnsi="Arial" w:cs="Arial"/>
          <w:sz w:val="28"/>
          <w:szCs w:val="28"/>
          <w:lang w:val="en-US"/>
        </w:rPr>
        <w:t xml:space="preserve"> Cambridge: Cambridge University Press.</w:t>
      </w:r>
    </w:p>
    <w:p w:rsidR="00091052" w:rsidRDefault="00863969">
      <w:pPr>
        <w:suppressAutoHyphens w:val="0"/>
        <w:autoSpaceDE w:val="0"/>
        <w:spacing w:after="0" w:line="240" w:lineRule="auto"/>
        <w:textAlignment w:val="auto"/>
        <w:rPr>
          <w:rFonts w:ascii="Arial" w:hAnsi="Arial" w:cs="Arial"/>
          <w:sz w:val="28"/>
          <w:szCs w:val="28"/>
          <w:lang w:val="en-US"/>
        </w:rPr>
      </w:pPr>
      <w:r>
        <w:rPr>
          <w:rFonts w:ascii="Arial" w:hAnsi="Arial" w:cs="Arial"/>
          <w:sz w:val="28"/>
          <w:szCs w:val="28"/>
          <w:lang w:val="en-US"/>
        </w:rPr>
        <w:t>North, D. C. (1994). Economic performance through time.</w:t>
      </w:r>
    </w:p>
    <w:p w:rsidR="00091052" w:rsidRPr="004B6B5B" w:rsidRDefault="00863969">
      <w:pPr>
        <w:suppressAutoHyphens w:val="0"/>
        <w:autoSpaceDE w:val="0"/>
        <w:spacing w:after="0" w:line="240" w:lineRule="auto"/>
        <w:textAlignment w:val="auto"/>
        <w:rPr>
          <w:lang w:val="en-US"/>
        </w:rPr>
      </w:pPr>
      <w:r>
        <w:rPr>
          <w:rFonts w:ascii="Arial" w:hAnsi="Arial" w:cs="Arial"/>
          <w:i/>
          <w:iCs/>
          <w:sz w:val="28"/>
          <w:szCs w:val="28"/>
          <w:lang w:val="en-US"/>
        </w:rPr>
        <w:t>American Economic Review</w:t>
      </w:r>
      <w:r>
        <w:rPr>
          <w:rFonts w:ascii="Arial" w:hAnsi="Arial" w:cs="Arial"/>
          <w:sz w:val="28"/>
          <w:szCs w:val="28"/>
          <w:lang w:val="en-US"/>
        </w:rPr>
        <w:t xml:space="preserve">, </w:t>
      </w:r>
      <w:r>
        <w:rPr>
          <w:rFonts w:ascii="Arial" w:hAnsi="Arial" w:cs="Arial"/>
          <w:i/>
          <w:iCs/>
          <w:sz w:val="28"/>
          <w:szCs w:val="28"/>
          <w:lang w:val="en-US"/>
        </w:rPr>
        <w:t>84</w:t>
      </w:r>
      <w:r>
        <w:rPr>
          <w:rFonts w:ascii="Arial" w:hAnsi="Arial" w:cs="Arial"/>
          <w:sz w:val="28"/>
          <w:szCs w:val="28"/>
          <w:lang w:val="en-US"/>
        </w:rPr>
        <w:t>(3), 359–368.</w:t>
      </w:r>
    </w:p>
    <w:p w:rsidR="00091052" w:rsidRPr="004B6B5B" w:rsidRDefault="00863969">
      <w:pPr>
        <w:suppressAutoHyphens w:val="0"/>
        <w:autoSpaceDE w:val="0"/>
        <w:spacing w:after="0" w:line="240" w:lineRule="auto"/>
        <w:textAlignment w:val="auto"/>
        <w:rPr>
          <w:lang w:val="en-US"/>
        </w:rPr>
      </w:pPr>
      <w:r>
        <w:rPr>
          <w:rFonts w:ascii="Arial" w:hAnsi="Arial" w:cs="Arial"/>
          <w:sz w:val="28"/>
          <w:szCs w:val="28"/>
          <w:lang w:val="en-US"/>
        </w:rPr>
        <w:t>North, D. C. (2005).</w:t>
      </w:r>
      <w:r>
        <w:rPr>
          <w:rFonts w:ascii="Arial" w:hAnsi="Arial" w:cs="Arial"/>
          <w:b/>
          <w:bCs/>
          <w:sz w:val="28"/>
          <w:szCs w:val="28"/>
          <w:lang w:val="en-US"/>
        </w:rPr>
        <w:t xml:space="preserve"> Understanding the process of economic cha</w:t>
      </w:r>
      <w:r>
        <w:rPr>
          <w:rFonts w:ascii="Arial" w:hAnsi="Arial" w:cs="Arial"/>
          <w:b/>
          <w:bCs/>
          <w:sz w:val="28"/>
          <w:szCs w:val="28"/>
          <w:lang w:val="en-US"/>
        </w:rPr>
        <w:t>nge</w:t>
      </w:r>
      <w:r>
        <w:rPr>
          <w:rFonts w:ascii="Arial" w:hAnsi="Arial" w:cs="Arial"/>
          <w:sz w:val="28"/>
          <w:szCs w:val="28"/>
          <w:lang w:val="en-US"/>
        </w:rPr>
        <w:t>.  Princeton, NJ: Princeton University Press.</w:t>
      </w:r>
    </w:p>
    <w:p w:rsidR="00091052" w:rsidRDefault="00863969">
      <w:pPr>
        <w:suppressAutoHyphens w:val="0"/>
        <w:autoSpaceDE w:val="0"/>
        <w:spacing w:after="0" w:line="240" w:lineRule="auto"/>
        <w:textAlignment w:val="auto"/>
        <w:rPr>
          <w:rFonts w:ascii="Arial" w:hAnsi="Arial" w:cs="Arial"/>
          <w:sz w:val="28"/>
          <w:szCs w:val="28"/>
          <w:lang w:val="en-US"/>
        </w:rPr>
      </w:pPr>
      <w:r>
        <w:rPr>
          <w:rFonts w:ascii="Arial" w:hAnsi="Arial" w:cs="Arial"/>
          <w:sz w:val="28"/>
          <w:szCs w:val="28"/>
          <w:lang w:val="en-US"/>
        </w:rPr>
        <w:t>Peng, M., Wang, D. Y. L., &amp; Yi, J. (2008). An institution-based view</w:t>
      </w:r>
    </w:p>
    <w:p w:rsidR="00091052" w:rsidRDefault="00863969">
      <w:pPr>
        <w:suppressAutoHyphens w:val="0"/>
        <w:autoSpaceDE w:val="0"/>
        <w:spacing w:after="0" w:line="240" w:lineRule="auto"/>
        <w:textAlignment w:val="auto"/>
        <w:rPr>
          <w:rFonts w:ascii="Arial" w:hAnsi="Arial" w:cs="Arial"/>
          <w:sz w:val="28"/>
          <w:szCs w:val="28"/>
          <w:lang w:val="en-US"/>
        </w:rPr>
      </w:pPr>
      <w:r>
        <w:rPr>
          <w:rFonts w:ascii="Arial" w:hAnsi="Arial" w:cs="Arial"/>
          <w:sz w:val="28"/>
          <w:szCs w:val="28"/>
          <w:lang w:val="en-US"/>
        </w:rPr>
        <w:t xml:space="preserve">of international business strategy: A focus on emerging </w:t>
      </w:r>
    </w:p>
    <w:p w:rsidR="00091052" w:rsidRPr="004B6B5B" w:rsidRDefault="00863969">
      <w:pPr>
        <w:suppressAutoHyphens w:val="0"/>
        <w:autoSpaceDE w:val="0"/>
        <w:spacing w:after="0" w:line="240" w:lineRule="auto"/>
        <w:textAlignment w:val="auto"/>
        <w:rPr>
          <w:lang w:val="en-US"/>
        </w:rPr>
      </w:pPr>
      <w:r>
        <w:rPr>
          <w:rFonts w:ascii="Arial" w:hAnsi="Arial" w:cs="Arial"/>
          <w:sz w:val="28"/>
          <w:szCs w:val="28"/>
          <w:lang w:val="en-US"/>
        </w:rPr>
        <w:t xml:space="preserve">economies. </w:t>
      </w:r>
      <w:r>
        <w:rPr>
          <w:rFonts w:ascii="Arial" w:hAnsi="Arial" w:cs="Arial"/>
          <w:i/>
          <w:iCs/>
          <w:sz w:val="28"/>
          <w:szCs w:val="28"/>
          <w:lang w:val="en-US"/>
        </w:rPr>
        <w:t>Journal of International Business Studies</w:t>
      </w:r>
      <w:r>
        <w:rPr>
          <w:rFonts w:ascii="Arial" w:hAnsi="Arial" w:cs="Arial"/>
          <w:sz w:val="28"/>
          <w:szCs w:val="28"/>
          <w:lang w:val="en-US"/>
        </w:rPr>
        <w:t xml:space="preserve">, </w:t>
      </w:r>
      <w:r>
        <w:rPr>
          <w:rFonts w:ascii="Arial" w:hAnsi="Arial" w:cs="Arial"/>
          <w:i/>
          <w:iCs/>
          <w:sz w:val="28"/>
          <w:szCs w:val="28"/>
          <w:lang w:val="en-US"/>
        </w:rPr>
        <w:t>39</w:t>
      </w:r>
      <w:r>
        <w:rPr>
          <w:rFonts w:ascii="Arial" w:hAnsi="Arial" w:cs="Arial"/>
          <w:sz w:val="28"/>
          <w:szCs w:val="28"/>
          <w:lang w:val="en-US"/>
        </w:rPr>
        <w:t>, 920–936.</w:t>
      </w:r>
    </w:p>
    <w:p w:rsidR="00091052" w:rsidRDefault="00863969">
      <w:pPr>
        <w:suppressAutoHyphens w:val="0"/>
        <w:autoSpaceDE w:val="0"/>
        <w:spacing w:after="0" w:line="240" w:lineRule="auto"/>
        <w:textAlignment w:val="auto"/>
        <w:rPr>
          <w:rFonts w:ascii="Arial" w:hAnsi="Arial" w:cs="Arial"/>
          <w:sz w:val="28"/>
          <w:szCs w:val="28"/>
          <w:lang w:val="en-US"/>
        </w:rPr>
      </w:pPr>
      <w:r>
        <w:rPr>
          <w:rFonts w:ascii="Arial" w:hAnsi="Arial" w:cs="Arial"/>
          <w:sz w:val="28"/>
          <w:szCs w:val="28"/>
          <w:lang w:val="en-US"/>
        </w:rPr>
        <w:t>Scott, W. R. (</w:t>
      </w:r>
      <w:r>
        <w:rPr>
          <w:rFonts w:ascii="Arial" w:hAnsi="Arial" w:cs="Arial"/>
          <w:sz w:val="28"/>
          <w:szCs w:val="28"/>
          <w:lang w:val="en-US"/>
        </w:rPr>
        <w:t>1995). Introduction: Institutional theory and</w:t>
      </w:r>
    </w:p>
    <w:p w:rsidR="00091052" w:rsidRPr="004B6B5B" w:rsidRDefault="00863969">
      <w:pPr>
        <w:suppressAutoHyphens w:val="0"/>
        <w:autoSpaceDE w:val="0"/>
        <w:spacing w:after="0" w:line="240" w:lineRule="auto"/>
        <w:textAlignment w:val="auto"/>
        <w:rPr>
          <w:lang w:val="en-US"/>
        </w:rPr>
      </w:pPr>
      <w:r>
        <w:rPr>
          <w:rFonts w:ascii="Arial" w:hAnsi="Arial" w:cs="Arial"/>
          <w:sz w:val="28"/>
          <w:szCs w:val="28"/>
          <w:lang w:val="en-US"/>
        </w:rPr>
        <w:t xml:space="preserve">organizations. In W. R. Scott, &amp; S. Christensen (Eds.), </w:t>
      </w:r>
      <w:r>
        <w:rPr>
          <w:rFonts w:ascii="Arial" w:hAnsi="Arial" w:cs="Arial"/>
          <w:b/>
          <w:bCs/>
          <w:sz w:val="28"/>
          <w:szCs w:val="28"/>
          <w:lang w:val="en-US"/>
        </w:rPr>
        <w:t>The</w:t>
      </w:r>
    </w:p>
    <w:p w:rsidR="00091052" w:rsidRPr="004B6B5B" w:rsidRDefault="00863969">
      <w:pPr>
        <w:suppressAutoHyphens w:val="0"/>
        <w:autoSpaceDE w:val="0"/>
        <w:spacing w:after="0" w:line="240" w:lineRule="auto"/>
        <w:textAlignment w:val="auto"/>
        <w:rPr>
          <w:lang w:val="en-US"/>
        </w:rPr>
      </w:pPr>
      <w:r>
        <w:rPr>
          <w:rFonts w:ascii="Arial" w:hAnsi="Arial" w:cs="Arial"/>
          <w:b/>
          <w:bCs/>
          <w:sz w:val="28"/>
          <w:szCs w:val="28"/>
          <w:lang w:val="en-US"/>
        </w:rPr>
        <w:t>institutional construction of organizations: xi–xxiii</w:t>
      </w:r>
      <w:r>
        <w:rPr>
          <w:rFonts w:ascii="Arial" w:hAnsi="Arial" w:cs="Arial"/>
          <w:sz w:val="28"/>
          <w:szCs w:val="28"/>
          <w:lang w:val="en-US"/>
        </w:rPr>
        <w:t>. Thousand</w:t>
      </w:r>
    </w:p>
    <w:p w:rsidR="00091052" w:rsidRDefault="00863969">
      <w:pPr>
        <w:suppressAutoHyphens w:val="0"/>
        <w:autoSpaceDE w:val="0"/>
        <w:spacing w:after="0" w:line="240" w:lineRule="auto"/>
        <w:textAlignment w:val="auto"/>
        <w:rPr>
          <w:rFonts w:ascii="Arial" w:hAnsi="Arial" w:cs="Arial"/>
          <w:sz w:val="28"/>
          <w:szCs w:val="28"/>
          <w:lang w:val="en-US"/>
        </w:rPr>
      </w:pPr>
      <w:r>
        <w:rPr>
          <w:rFonts w:ascii="Arial" w:hAnsi="Arial" w:cs="Arial"/>
          <w:sz w:val="28"/>
          <w:szCs w:val="28"/>
          <w:lang w:val="en-US"/>
        </w:rPr>
        <w:t>Oaks, CA: Sage Publications.</w:t>
      </w:r>
    </w:p>
    <w:p w:rsidR="00091052" w:rsidRPr="004B6B5B" w:rsidRDefault="00863969">
      <w:pPr>
        <w:suppressAutoHyphens w:val="0"/>
        <w:autoSpaceDE w:val="0"/>
        <w:spacing w:after="0" w:line="240" w:lineRule="auto"/>
        <w:textAlignment w:val="auto"/>
        <w:rPr>
          <w:lang w:val="en-US"/>
        </w:rPr>
      </w:pPr>
      <w:r>
        <w:rPr>
          <w:rFonts w:ascii="Arial" w:hAnsi="Arial" w:cs="Arial"/>
          <w:sz w:val="28"/>
          <w:szCs w:val="28"/>
          <w:lang w:val="en-US"/>
        </w:rPr>
        <w:t xml:space="preserve">Scott, W. R. (2001). </w:t>
      </w:r>
      <w:r>
        <w:rPr>
          <w:rFonts w:ascii="Arial" w:hAnsi="Arial" w:cs="Arial"/>
          <w:b/>
          <w:bCs/>
          <w:sz w:val="28"/>
          <w:szCs w:val="28"/>
          <w:lang w:val="en-US"/>
        </w:rPr>
        <w:t>Institutions and organizations</w:t>
      </w:r>
      <w:r>
        <w:rPr>
          <w:rFonts w:ascii="Arial" w:hAnsi="Arial" w:cs="Arial"/>
          <w:sz w:val="28"/>
          <w:szCs w:val="28"/>
          <w:lang w:val="en-US"/>
        </w:rPr>
        <w:t xml:space="preserve">. </w:t>
      </w:r>
      <w:r>
        <w:rPr>
          <w:rFonts w:ascii="Arial" w:hAnsi="Arial" w:cs="Arial"/>
          <w:sz w:val="28"/>
          <w:szCs w:val="28"/>
          <w:lang w:val="en-US"/>
        </w:rPr>
        <w:t>Thousand Oaks, CA: Sage Publications.</w:t>
      </w:r>
    </w:p>
    <w:p w:rsidR="00091052" w:rsidRDefault="00863969">
      <w:pPr>
        <w:suppressAutoHyphens w:val="0"/>
        <w:autoSpaceDE w:val="0"/>
        <w:spacing w:after="0" w:line="240" w:lineRule="auto"/>
        <w:textAlignment w:val="auto"/>
        <w:rPr>
          <w:rFonts w:ascii="Arial" w:hAnsi="Arial" w:cs="Arial"/>
          <w:sz w:val="28"/>
          <w:szCs w:val="28"/>
          <w:lang w:val="en-US"/>
        </w:rPr>
      </w:pPr>
      <w:r>
        <w:rPr>
          <w:rFonts w:ascii="Arial" w:hAnsi="Arial" w:cs="Arial"/>
          <w:sz w:val="28"/>
          <w:szCs w:val="28"/>
          <w:lang w:val="en-US"/>
        </w:rPr>
        <w:t>Scott, W. R. (2002). The changing world of Chinese enterprise: An</w:t>
      </w:r>
    </w:p>
    <w:p w:rsidR="00091052" w:rsidRPr="004B6B5B" w:rsidRDefault="00863969">
      <w:pPr>
        <w:suppressAutoHyphens w:val="0"/>
        <w:autoSpaceDE w:val="0"/>
        <w:spacing w:after="0" w:line="240" w:lineRule="auto"/>
        <w:textAlignment w:val="auto"/>
        <w:rPr>
          <w:lang w:val="en-US"/>
        </w:rPr>
      </w:pPr>
      <w:r>
        <w:rPr>
          <w:rFonts w:ascii="Arial" w:hAnsi="Arial" w:cs="Arial"/>
          <w:sz w:val="28"/>
          <w:szCs w:val="28"/>
          <w:lang w:val="en-US"/>
        </w:rPr>
        <w:t xml:space="preserve">institutional perspective. In A. S. Tsui, &amp; C. M. Lau (Eds.), </w:t>
      </w:r>
      <w:r>
        <w:rPr>
          <w:rFonts w:ascii="Arial" w:hAnsi="Arial" w:cs="Arial"/>
          <w:b/>
          <w:bCs/>
          <w:sz w:val="28"/>
          <w:szCs w:val="28"/>
          <w:lang w:val="en-US"/>
        </w:rPr>
        <w:t>The</w:t>
      </w:r>
    </w:p>
    <w:p w:rsidR="00091052" w:rsidRDefault="00863969">
      <w:pPr>
        <w:suppressAutoHyphens w:val="0"/>
        <w:autoSpaceDE w:val="0"/>
        <w:spacing w:after="0" w:line="240" w:lineRule="auto"/>
        <w:textAlignment w:val="auto"/>
      </w:pPr>
      <w:r>
        <w:rPr>
          <w:rFonts w:ascii="Arial" w:hAnsi="Arial" w:cs="Arial"/>
          <w:b/>
          <w:bCs/>
          <w:sz w:val="28"/>
          <w:szCs w:val="28"/>
          <w:lang w:val="en-US"/>
        </w:rPr>
        <w:t>management of enterprises in the People’s Republic of China</w:t>
      </w:r>
      <w:r>
        <w:rPr>
          <w:rFonts w:ascii="Arial" w:hAnsi="Arial" w:cs="Arial"/>
          <w:i/>
          <w:iCs/>
          <w:sz w:val="28"/>
          <w:szCs w:val="28"/>
          <w:lang w:val="en-US"/>
        </w:rPr>
        <w:t>: 59–78</w:t>
      </w:r>
      <w:r>
        <w:rPr>
          <w:rFonts w:ascii="Arial" w:hAnsi="Arial" w:cs="Arial"/>
          <w:sz w:val="28"/>
          <w:szCs w:val="28"/>
          <w:lang w:val="en-US"/>
        </w:rPr>
        <w:t xml:space="preserve">.  </w:t>
      </w:r>
      <w:r>
        <w:rPr>
          <w:rFonts w:ascii="Arial" w:hAnsi="Arial" w:cs="Arial"/>
          <w:sz w:val="28"/>
          <w:szCs w:val="28"/>
        </w:rPr>
        <w:t>London: Kluwer Ac</w:t>
      </w:r>
      <w:r>
        <w:rPr>
          <w:rFonts w:ascii="Arial" w:hAnsi="Arial" w:cs="Arial"/>
          <w:sz w:val="28"/>
          <w:szCs w:val="28"/>
        </w:rPr>
        <w:t>ademic Publishers.</w:t>
      </w:r>
    </w:p>
    <w:sectPr w:rsidR="0009105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69" w:rsidRDefault="00863969">
      <w:pPr>
        <w:spacing w:after="0" w:line="240" w:lineRule="auto"/>
      </w:pPr>
      <w:r>
        <w:separator/>
      </w:r>
    </w:p>
  </w:endnote>
  <w:endnote w:type="continuationSeparator" w:id="0">
    <w:p w:rsidR="00863969" w:rsidRDefault="0086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exusSansPro">
    <w:altName w:val="Times New Roman"/>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69" w:rsidRDefault="00863969">
      <w:pPr>
        <w:spacing w:after="0" w:line="240" w:lineRule="auto"/>
      </w:pPr>
      <w:r>
        <w:rPr>
          <w:color w:val="000000"/>
        </w:rPr>
        <w:separator/>
      </w:r>
    </w:p>
  </w:footnote>
  <w:footnote w:type="continuationSeparator" w:id="0">
    <w:p w:rsidR="00863969" w:rsidRDefault="00863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10E"/>
    <w:multiLevelType w:val="multilevel"/>
    <w:tmpl w:val="927883CC"/>
    <w:lvl w:ilvl="0">
      <w:numFmt w:val="bullet"/>
      <w:lvlText w:val=""/>
      <w:lvlJc w:val="left"/>
      <w:pPr>
        <w:ind w:left="792" w:hanging="360"/>
      </w:pPr>
      <w:rPr>
        <w:rFonts w:ascii="Wingdings" w:hAnsi="Wingdings"/>
      </w:rPr>
    </w:lvl>
    <w:lvl w:ilvl="1">
      <w:numFmt w:val="bullet"/>
      <w:lvlText w:val="o"/>
      <w:lvlJc w:val="left"/>
      <w:pPr>
        <w:ind w:left="1512" w:hanging="360"/>
      </w:pPr>
      <w:rPr>
        <w:rFonts w:ascii="Courier New" w:hAnsi="Courier New" w:cs="Courier New"/>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91052"/>
    <w:rsid w:val="00091052"/>
    <w:rsid w:val="004B6B5B"/>
    <w:rsid w:val="008639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D4623-4259-492B-85F0-4D67025E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00FF"/>
      <w:u w:val="single"/>
    </w:rPr>
  </w:style>
  <w:style w:type="paragraph" w:styleId="a3">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4488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Kyrkilis</dc:creator>
  <dc:description/>
  <cp:lastModifiedBy>ΛΙΤΣΑ ΚΑΤΣΕΜΑΚΙΔΟΥ</cp:lastModifiedBy>
  <cp:revision>2</cp:revision>
  <dcterms:created xsi:type="dcterms:W3CDTF">2023-09-18T07:03:00Z</dcterms:created>
  <dcterms:modified xsi:type="dcterms:W3CDTF">2023-09-18T07:03:00Z</dcterms:modified>
</cp:coreProperties>
</file>