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5032"/>
        <w:gridCol w:w="737"/>
        <w:gridCol w:w="1007"/>
      </w:tblGrid>
      <w:tr w:rsidR="009056BD" w14:paraId="58F85D80" w14:textId="77777777" w:rsidTr="001A30DA">
        <w:trPr>
          <w:cantSplit/>
          <w:trHeight w:val="134"/>
        </w:trPr>
        <w:tc>
          <w:tcPr>
            <w:tcW w:w="7152" w:type="dxa"/>
            <w:gridSpan w:val="2"/>
          </w:tcPr>
          <w:p w14:paraId="45862F6D" w14:textId="77777777" w:rsidR="009056BD" w:rsidRPr="001A30DA" w:rsidRDefault="009056BD" w:rsidP="001A30DA">
            <w:pPr>
              <w:jc w:val="center"/>
              <w:rPr>
                <w:rFonts w:asciiTheme="majorBidi" w:hAnsiTheme="majorBidi" w:cstheme="majorBidi"/>
                <w:b/>
                <w:sz w:val="20"/>
              </w:rPr>
            </w:pPr>
            <w:r w:rsidRPr="001A30DA">
              <w:rPr>
                <w:rFonts w:asciiTheme="majorBidi" w:hAnsiTheme="majorBidi" w:cstheme="majorBidi"/>
                <w:b/>
                <w:sz w:val="20"/>
              </w:rPr>
              <w:t>Title</w:t>
            </w:r>
          </w:p>
        </w:tc>
        <w:tc>
          <w:tcPr>
            <w:tcW w:w="737" w:type="dxa"/>
          </w:tcPr>
          <w:p w14:paraId="47D64356" w14:textId="77777777" w:rsidR="009056BD" w:rsidRPr="001A30DA" w:rsidRDefault="009056BD" w:rsidP="001A30DA">
            <w:pPr>
              <w:jc w:val="center"/>
              <w:rPr>
                <w:rFonts w:asciiTheme="majorBidi" w:hAnsiTheme="majorBidi" w:cstheme="majorBidi"/>
                <w:b/>
                <w:sz w:val="20"/>
              </w:rPr>
            </w:pPr>
            <w:r w:rsidRPr="001A30DA">
              <w:rPr>
                <w:rFonts w:asciiTheme="majorBidi" w:hAnsiTheme="majorBidi" w:cstheme="majorBidi"/>
                <w:b/>
                <w:sz w:val="20"/>
              </w:rPr>
              <w:t>Year</w:t>
            </w:r>
          </w:p>
        </w:tc>
        <w:tc>
          <w:tcPr>
            <w:tcW w:w="1007" w:type="dxa"/>
          </w:tcPr>
          <w:p w14:paraId="01E212D0" w14:textId="77777777" w:rsidR="009056BD" w:rsidRPr="001A30DA" w:rsidRDefault="009056BD" w:rsidP="001A30DA">
            <w:pPr>
              <w:pStyle w:val="5"/>
              <w:rPr>
                <w:rFonts w:asciiTheme="majorBidi" w:hAnsiTheme="majorBidi" w:cstheme="majorBidi"/>
              </w:rPr>
            </w:pPr>
            <w:r w:rsidRPr="001A30DA">
              <w:rPr>
                <w:rFonts w:asciiTheme="majorBidi" w:hAnsiTheme="majorBidi" w:cstheme="majorBidi"/>
              </w:rPr>
              <w:t>Semester</w:t>
            </w:r>
          </w:p>
        </w:tc>
      </w:tr>
      <w:tr w:rsidR="009056BD" w14:paraId="0D548379" w14:textId="77777777" w:rsidTr="001A30DA">
        <w:trPr>
          <w:cantSplit/>
          <w:trHeight w:val="134"/>
        </w:trPr>
        <w:tc>
          <w:tcPr>
            <w:tcW w:w="7152" w:type="dxa"/>
            <w:gridSpan w:val="2"/>
          </w:tcPr>
          <w:p w14:paraId="4B27CA39" w14:textId="77777777" w:rsidR="009056BD" w:rsidRPr="001A30DA" w:rsidRDefault="00C533C9" w:rsidP="001A30DA">
            <w:pPr>
              <w:jc w:val="center"/>
              <w:rPr>
                <w:rFonts w:asciiTheme="majorBidi" w:hAnsiTheme="majorBidi" w:cstheme="majorBidi"/>
                <w:sz w:val="20"/>
              </w:rPr>
            </w:pPr>
            <w:r w:rsidRPr="001A30DA">
              <w:rPr>
                <w:rFonts w:asciiTheme="majorBidi" w:hAnsiTheme="majorBidi" w:cstheme="majorBidi"/>
                <w:szCs w:val="24"/>
                <w:lang w:val="el-GR" w:eastAsia="el-GR"/>
              </w:rPr>
              <w:t>‘‘</w:t>
            </w:r>
            <w:r w:rsidRPr="001A30DA">
              <w:rPr>
                <w:rFonts w:asciiTheme="majorBidi" w:hAnsiTheme="majorBidi" w:cstheme="majorBidi"/>
                <w:szCs w:val="24"/>
                <w:lang w:eastAsia="el-GR"/>
              </w:rPr>
              <w:t>International</w:t>
            </w:r>
            <w:r w:rsidRPr="001A30DA">
              <w:rPr>
                <w:rFonts w:asciiTheme="majorBidi" w:hAnsiTheme="majorBidi" w:cstheme="majorBidi"/>
                <w:szCs w:val="24"/>
                <w:lang w:val="el-GR" w:eastAsia="el-GR"/>
              </w:rPr>
              <w:t xml:space="preserve"> </w:t>
            </w:r>
            <w:r w:rsidR="00CB3035" w:rsidRPr="001A30DA">
              <w:rPr>
                <w:rFonts w:asciiTheme="majorBidi" w:hAnsiTheme="majorBidi" w:cstheme="majorBidi"/>
                <w:szCs w:val="24"/>
                <w:lang w:eastAsia="el-GR"/>
              </w:rPr>
              <w:t>R</w:t>
            </w:r>
            <w:r w:rsidRPr="001A30DA">
              <w:rPr>
                <w:rFonts w:asciiTheme="majorBidi" w:hAnsiTheme="majorBidi" w:cstheme="majorBidi"/>
                <w:szCs w:val="24"/>
                <w:lang w:eastAsia="el-GR"/>
              </w:rPr>
              <w:t>elations</w:t>
            </w:r>
            <w:r w:rsidRPr="001A30DA">
              <w:rPr>
                <w:rFonts w:asciiTheme="majorBidi" w:hAnsiTheme="majorBidi" w:cstheme="majorBidi"/>
                <w:szCs w:val="24"/>
                <w:lang w:val="el-GR" w:eastAsia="el-GR"/>
              </w:rPr>
              <w:t xml:space="preserve"> </w:t>
            </w:r>
            <w:r w:rsidRPr="001A30DA">
              <w:rPr>
                <w:rFonts w:asciiTheme="majorBidi" w:hAnsiTheme="majorBidi" w:cstheme="majorBidi"/>
                <w:szCs w:val="24"/>
                <w:lang w:eastAsia="el-GR"/>
              </w:rPr>
              <w:t>of</w:t>
            </w:r>
            <w:r w:rsidRPr="001A30DA">
              <w:rPr>
                <w:rFonts w:asciiTheme="majorBidi" w:hAnsiTheme="majorBidi" w:cstheme="majorBidi"/>
                <w:szCs w:val="24"/>
                <w:lang w:val="el-GR" w:eastAsia="el-GR"/>
              </w:rPr>
              <w:t xml:space="preserve"> </w:t>
            </w:r>
            <w:r w:rsidRPr="001A30DA">
              <w:rPr>
                <w:rFonts w:asciiTheme="majorBidi" w:hAnsiTheme="majorBidi" w:cstheme="majorBidi"/>
                <w:szCs w:val="24"/>
                <w:lang w:eastAsia="el-GR"/>
              </w:rPr>
              <w:t>Russia</w:t>
            </w:r>
            <w:r w:rsidRPr="001A30DA">
              <w:rPr>
                <w:rFonts w:asciiTheme="majorBidi" w:hAnsiTheme="majorBidi" w:cstheme="majorBidi"/>
                <w:szCs w:val="24"/>
                <w:lang w:val="el-GR" w:eastAsia="el-GR"/>
              </w:rPr>
              <w:t>’’</w:t>
            </w:r>
          </w:p>
        </w:tc>
        <w:tc>
          <w:tcPr>
            <w:tcW w:w="737" w:type="dxa"/>
          </w:tcPr>
          <w:p w14:paraId="5085CB91" w14:textId="52980317" w:rsidR="009056BD" w:rsidRPr="001A30DA" w:rsidRDefault="00C533C9" w:rsidP="001A30DA">
            <w:pPr>
              <w:jc w:val="center"/>
              <w:rPr>
                <w:rFonts w:asciiTheme="majorBidi" w:hAnsiTheme="majorBidi" w:cstheme="majorBidi"/>
                <w:sz w:val="20"/>
              </w:rPr>
            </w:pPr>
            <w:r w:rsidRPr="001A30DA">
              <w:rPr>
                <w:rFonts w:asciiTheme="majorBidi" w:hAnsiTheme="majorBidi" w:cstheme="majorBidi"/>
                <w:sz w:val="20"/>
              </w:rPr>
              <w:t>2nd</w:t>
            </w:r>
          </w:p>
        </w:tc>
        <w:tc>
          <w:tcPr>
            <w:tcW w:w="1007" w:type="dxa"/>
          </w:tcPr>
          <w:p w14:paraId="37DF51DE" w14:textId="77777777" w:rsidR="009056BD" w:rsidRPr="001A30DA" w:rsidRDefault="00C533C9" w:rsidP="001A30DA">
            <w:pPr>
              <w:jc w:val="center"/>
              <w:rPr>
                <w:rFonts w:asciiTheme="majorBidi" w:hAnsiTheme="majorBidi" w:cstheme="majorBidi"/>
                <w:sz w:val="20"/>
              </w:rPr>
            </w:pPr>
            <w:r w:rsidRPr="001A30DA">
              <w:rPr>
                <w:rFonts w:asciiTheme="majorBidi" w:hAnsiTheme="majorBidi" w:cstheme="majorBidi"/>
                <w:sz w:val="20"/>
              </w:rPr>
              <w:t>4th</w:t>
            </w:r>
          </w:p>
        </w:tc>
      </w:tr>
      <w:tr w:rsidR="009056BD" w14:paraId="18EF1780" w14:textId="77777777" w:rsidTr="001A30DA">
        <w:trPr>
          <w:trHeight w:val="134"/>
        </w:trPr>
        <w:tc>
          <w:tcPr>
            <w:tcW w:w="2120" w:type="dxa"/>
          </w:tcPr>
          <w:p w14:paraId="7E4479EB" w14:textId="77777777" w:rsidR="009056BD" w:rsidRPr="001A30DA" w:rsidRDefault="009056BD" w:rsidP="001A30DA">
            <w:pPr>
              <w:rPr>
                <w:rFonts w:asciiTheme="majorBidi" w:hAnsiTheme="majorBidi" w:cstheme="majorBidi"/>
                <w:b/>
                <w:sz w:val="20"/>
                <w:highlight w:val="yellow"/>
              </w:rPr>
            </w:pPr>
          </w:p>
        </w:tc>
        <w:tc>
          <w:tcPr>
            <w:tcW w:w="6776" w:type="dxa"/>
            <w:gridSpan w:val="3"/>
          </w:tcPr>
          <w:p w14:paraId="240618B8" w14:textId="77777777" w:rsidR="009056BD" w:rsidRPr="001A30DA" w:rsidRDefault="009056BD" w:rsidP="001A30DA">
            <w:pPr>
              <w:rPr>
                <w:rFonts w:asciiTheme="majorBidi" w:hAnsiTheme="majorBidi" w:cstheme="majorBidi"/>
                <w:sz w:val="20"/>
                <w:highlight w:val="yellow"/>
                <w:lang w:val="de-DE"/>
              </w:rPr>
            </w:pPr>
          </w:p>
        </w:tc>
      </w:tr>
      <w:tr w:rsidR="009056BD" w14:paraId="53478755" w14:textId="77777777" w:rsidTr="001A30DA">
        <w:trPr>
          <w:trHeight w:val="134"/>
        </w:trPr>
        <w:tc>
          <w:tcPr>
            <w:tcW w:w="2120" w:type="dxa"/>
          </w:tcPr>
          <w:p w14:paraId="27653602" w14:textId="77777777" w:rsidR="009056BD" w:rsidRPr="001A30DA" w:rsidRDefault="009056BD" w:rsidP="001A30DA">
            <w:pPr>
              <w:rPr>
                <w:rFonts w:asciiTheme="majorBidi" w:hAnsiTheme="majorBidi" w:cstheme="majorBidi"/>
                <w:b/>
                <w:sz w:val="20"/>
              </w:rPr>
            </w:pPr>
            <w:r w:rsidRPr="001A30DA">
              <w:rPr>
                <w:rFonts w:asciiTheme="majorBidi" w:hAnsiTheme="majorBidi" w:cstheme="majorBidi"/>
                <w:b/>
                <w:sz w:val="20"/>
              </w:rPr>
              <w:t>Compulsory/Elective module</w:t>
            </w:r>
          </w:p>
        </w:tc>
        <w:tc>
          <w:tcPr>
            <w:tcW w:w="6776" w:type="dxa"/>
            <w:gridSpan w:val="3"/>
          </w:tcPr>
          <w:p w14:paraId="70D5C084" w14:textId="77777777" w:rsidR="009056BD" w:rsidRPr="001A30DA" w:rsidRDefault="00C533C9" w:rsidP="001A30DA">
            <w:pPr>
              <w:jc w:val="left"/>
              <w:rPr>
                <w:rFonts w:asciiTheme="majorBidi" w:hAnsiTheme="majorBidi" w:cstheme="majorBidi"/>
                <w:sz w:val="20"/>
                <w:lang w:val="en-GB"/>
              </w:rPr>
            </w:pPr>
            <w:r w:rsidRPr="001A30DA">
              <w:rPr>
                <w:rFonts w:asciiTheme="majorBidi" w:hAnsiTheme="majorBidi" w:cstheme="majorBidi"/>
                <w:sz w:val="20"/>
              </w:rPr>
              <w:t>Elective module</w:t>
            </w:r>
          </w:p>
        </w:tc>
      </w:tr>
      <w:tr w:rsidR="009056BD" w14:paraId="4DA2B24D" w14:textId="77777777" w:rsidTr="001A30DA">
        <w:trPr>
          <w:trHeight w:val="134"/>
        </w:trPr>
        <w:tc>
          <w:tcPr>
            <w:tcW w:w="2120" w:type="dxa"/>
          </w:tcPr>
          <w:p w14:paraId="7A1F999F" w14:textId="77777777" w:rsidR="009056BD" w:rsidRPr="001A30DA" w:rsidRDefault="009056BD" w:rsidP="001A30DA">
            <w:pPr>
              <w:rPr>
                <w:rFonts w:asciiTheme="majorBidi" w:hAnsiTheme="majorBidi" w:cstheme="majorBidi"/>
                <w:b/>
                <w:sz w:val="20"/>
              </w:rPr>
            </w:pPr>
            <w:r w:rsidRPr="001A30DA">
              <w:rPr>
                <w:rFonts w:asciiTheme="majorBidi" w:hAnsiTheme="majorBidi" w:cstheme="majorBidi"/>
                <w:b/>
                <w:sz w:val="20"/>
              </w:rPr>
              <w:t>Instructor(s)</w:t>
            </w:r>
          </w:p>
        </w:tc>
        <w:tc>
          <w:tcPr>
            <w:tcW w:w="6776" w:type="dxa"/>
            <w:gridSpan w:val="3"/>
          </w:tcPr>
          <w:p w14:paraId="58E06BCB" w14:textId="77777777" w:rsidR="009056BD" w:rsidRPr="001A30DA" w:rsidRDefault="00FC7D9B" w:rsidP="001A30DA">
            <w:pPr>
              <w:jc w:val="left"/>
              <w:rPr>
                <w:rFonts w:asciiTheme="majorBidi" w:hAnsiTheme="majorBidi" w:cstheme="majorBidi"/>
                <w:sz w:val="20"/>
                <w:lang w:val="en-GB"/>
              </w:rPr>
            </w:pPr>
            <w:r w:rsidRPr="001A30DA">
              <w:rPr>
                <w:rFonts w:asciiTheme="majorBidi" w:hAnsiTheme="majorBidi" w:cstheme="majorBidi"/>
                <w:sz w:val="20"/>
              </w:rPr>
              <w:t>Revecca Pedi</w:t>
            </w:r>
            <w:r w:rsidR="00C533C9" w:rsidRPr="001A30DA">
              <w:rPr>
                <w:rFonts w:asciiTheme="majorBidi" w:hAnsiTheme="majorBidi" w:cstheme="majorBidi"/>
                <w:sz w:val="20"/>
                <w:lang w:val="en-GB"/>
              </w:rPr>
              <w:t xml:space="preserve">, </w:t>
            </w:r>
            <w:r w:rsidRPr="001A30DA">
              <w:rPr>
                <w:rFonts w:asciiTheme="majorBidi" w:hAnsiTheme="majorBidi" w:cstheme="majorBidi"/>
                <w:sz w:val="20"/>
                <w:lang w:val="en-GB"/>
              </w:rPr>
              <w:t xml:space="preserve">Associate Professor </w:t>
            </w:r>
          </w:p>
          <w:p w14:paraId="29556F7C" w14:textId="197693FC" w:rsidR="00FC7D9B" w:rsidRPr="001A30DA" w:rsidRDefault="00FC7D9B" w:rsidP="001A30DA">
            <w:pPr>
              <w:jc w:val="left"/>
              <w:rPr>
                <w:rFonts w:asciiTheme="majorBidi" w:hAnsiTheme="majorBidi" w:cstheme="majorBidi"/>
                <w:sz w:val="20"/>
                <w:lang w:val="en-GB"/>
              </w:rPr>
            </w:pPr>
            <w:r w:rsidRPr="001A30DA">
              <w:rPr>
                <w:rFonts w:asciiTheme="majorBidi" w:hAnsiTheme="majorBidi" w:cstheme="majorBidi"/>
                <w:sz w:val="20"/>
                <w:lang w:val="en-GB"/>
              </w:rPr>
              <w:t>Konstantinos Zarras, Assistant Professor</w:t>
            </w:r>
          </w:p>
        </w:tc>
      </w:tr>
      <w:tr w:rsidR="009056BD" w14:paraId="45EC32EF" w14:textId="77777777" w:rsidTr="001A30DA">
        <w:trPr>
          <w:trHeight w:val="134"/>
        </w:trPr>
        <w:tc>
          <w:tcPr>
            <w:tcW w:w="2120" w:type="dxa"/>
          </w:tcPr>
          <w:p w14:paraId="759F0E09" w14:textId="77777777" w:rsidR="009056BD" w:rsidRPr="001A30DA" w:rsidRDefault="009056BD" w:rsidP="001A30DA">
            <w:pPr>
              <w:rPr>
                <w:rFonts w:asciiTheme="majorBidi" w:hAnsiTheme="majorBidi" w:cstheme="majorBidi"/>
                <w:b/>
                <w:sz w:val="20"/>
              </w:rPr>
            </w:pPr>
            <w:r w:rsidRPr="001A30DA">
              <w:rPr>
                <w:rFonts w:asciiTheme="majorBidi" w:hAnsiTheme="majorBidi" w:cstheme="majorBidi"/>
                <w:b/>
                <w:sz w:val="20"/>
              </w:rPr>
              <w:t>Language</w:t>
            </w:r>
          </w:p>
        </w:tc>
        <w:tc>
          <w:tcPr>
            <w:tcW w:w="6776" w:type="dxa"/>
            <w:gridSpan w:val="3"/>
          </w:tcPr>
          <w:p w14:paraId="71EA55D8" w14:textId="77777777" w:rsidR="009056BD" w:rsidRPr="001A30DA" w:rsidRDefault="009056BD" w:rsidP="001A30DA">
            <w:pPr>
              <w:rPr>
                <w:rFonts w:asciiTheme="majorBidi" w:hAnsiTheme="majorBidi" w:cstheme="majorBidi"/>
                <w:sz w:val="20"/>
                <w:lang w:val="en-GB"/>
              </w:rPr>
            </w:pPr>
            <w:r w:rsidRPr="001A30DA">
              <w:rPr>
                <w:rFonts w:asciiTheme="majorBidi" w:hAnsiTheme="majorBidi" w:cstheme="majorBidi"/>
                <w:sz w:val="20"/>
              </w:rPr>
              <w:t>English</w:t>
            </w:r>
          </w:p>
        </w:tc>
      </w:tr>
      <w:tr w:rsidR="00F540C9" w14:paraId="5576E638" w14:textId="77777777" w:rsidTr="001A30DA">
        <w:trPr>
          <w:trHeight w:val="134"/>
        </w:trPr>
        <w:tc>
          <w:tcPr>
            <w:tcW w:w="2120" w:type="dxa"/>
          </w:tcPr>
          <w:p w14:paraId="4A16E55C" w14:textId="5682AC81" w:rsidR="00F540C9" w:rsidRPr="00F540C9" w:rsidRDefault="00F540C9" w:rsidP="00F540C9">
            <w:pPr>
              <w:rPr>
                <w:rFonts w:asciiTheme="majorBidi" w:hAnsiTheme="majorBidi" w:cstheme="majorBidi"/>
                <w:b/>
                <w:sz w:val="20"/>
                <w:lang w:val="en-GB"/>
              </w:rPr>
            </w:pPr>
            <w:r>
              <w:rPr>
                <w:rFonts w:asciiTheme="majorBidi" w:hAnsiTheme="majorBidi" w:cstheme="majorBidi"/>
                <w:b/>
                <w:sz w:val="20"/>
                <w:lang w:val="en-GB"/>
              </w:rPr>
              <w:t>Assessment</w:t>
            </w:r>
          </w:p>
        </w:tc>
        <w:tc>
          <w:tcPr>
            <w:tcW w:w="6776" w:type="dxa"/>
            <w:gridSpan w:val="3"/>
          </w:tcPr>
          <w:p w14:paraId="6D659718" w14:textId="751CF572" w:rsidR="00F540C9" w:rsidRDefault="00F540C9" w:rsidP="00F540C9">
            <w:pPr>
              <w:rPr>
                <w:rFonts w:asciiTheme="majorBidi" w:hAnsiTheme="majorBidi" w:cstheme="majorBidi"/>
                <w:sz w:val="20"/>
              </w:rPr>
            </w:pPr>
            <w:r>
              <w:rPr>
                <w:rFonts w:asciiTheme="majorBidi" w:hAnsiTheme="majorBidi" w:cstheme="majorBidi"/>
                <w:sz w:val="20"/>
              </w:rPr>
              <w:t>C</w:t>
            </w:r>
            <w:r w:rsidRPr="00F540C9">
              <w:rPr>
                <w:rFonts w:asciiTheme="majorBidi" w:hAnsiTheme="majorBidi" w:cstheme="majorBidi"/>
                <w:sz w:val="20"/>
              </w:rPr>
              <w:t>ontinuous assessment</w:t>
            </w:r>
            <w:r>
              <w:rPr>
                <w:rFonts w:asciiTheme="majorBidi" w:hAnsiTheme="majorBidi" w:cstheme="majorBidi"/>
                <w:sz w:val="20"/>
              </w:rPr>
              <w:t xml:space="preserve">- </w:t>
            </w:r>
          </w:p>
          <w:p w14:paraId="6B69D0A9" w14:textId="07D9AAAC" w:rsidR="00F540C9" w:rsidRPr="001A30DA" w:rsidRDefault="00F540C9" w:rsidP="00F540C9">
            <w:pPr>
              <w:rPr>
                <w:rFonts w:asciiTheme="majorBidi" w:hAnsiTheme="majorBidi" w:cstheme="majorBidi"/>
                <w:sz w:val="20"/>
              </w:rPr>
            </w:pPr>
            <w:r w:rsidRPr="00F540C9">
              <w:rPr>
                <w:rFonts w:asciiTheme="majorBidi" w:hAnsiTheme="majorBidi" w:cstheme="majorBidi"/>
                <w:sz w:val="20"/>
              </w:rPr>
              <w:t xml:space="preserve">2 short papers </w:t>
            </w:r>
            <w:r>
              <w:rPr>
                <w:rFonts w:asciiTheme="majorBidi" w:hAnsiTheme="majorBidi" w:cstheme="majorBidi"/>
                <w:sz w:val="20"/>
              </w:rPr>
              <w:t>(</w:t>
            </w:r>
            <w:r w:rsidRPr="00F540C9">
              <w:rPr>
                <w:rFonts w:asciiTheme="majorBidi" w:hAnsiTheme="majorBidi" w:cstheme="majorBidi"/>
                <w:sz w:val="20"/>
              </w:rPr>
              <w:t>1.000 words</w:t>
            </w:r>
            <w:r>
              <w:rPr>
                <w:rFonts w:asciiTheme="majorBidi" w:hAnsiTheme="majorBidi" w:cstheme="majorBidi"/>
                <w:sz w:val="20"/>
              </w:rPr>
              <w:t>)</w:t>
            </w:r>
            <w:r w:rsidRPr="00F540C9">
              <w:rPr>
                <w:rFonts w:asciiTheme="majorBidi" w:hAnsiTheme="majorBidi" w:cstheme="majorBidi"/>
                <w:sz w:val="20"/>
              </w:rPr>
              <w:t xml:space="preserve"> and one essay </w:t>
            </w:r>
            <w:r>
              <w:rPr>
                <w:rFonts w:asciiTheme="majorBidi" w:hAnsiTheme="majorBidi" w:cstheme="majorBidi"/>
                <w:sz w:val="20"/>
              </w:rPr>
              <w:t>(</w:t>
            </w:r>
            <w:r w:rsidRPr="00F540C9">
              <w:rPr>
                <w:rFonts w:asciiTheme="majorBidi" w:hAnsiTheme="majorBidi" w:cstheme="majorBidi"/>
                <w:sz w:val="20"/>
              </w:rPr>
              <w:t>5.000 words</w:t>
            </w:r>
            <w:r>
              <w:rPr>
                <w:rFonts w:asciiTheme="majorBidi" w:hAnsiTheme="majorBidi" w:cstheme="majorBidi"/>
                <w:sz w:val="20"/>
              </w:rPr>
              <w:t>)</w:t>
            </w:r>
          </w:p>
        </w:tc>
      </w:tr>
      <w:tr w:rsidR="001A30DA" w14:paraId="0DE60162" w14:textId="77777777" w:rsidTr="001A30DA">
        <w:trPr>
          <w:trHeight w:val="134"/>
        </w:trPr>
        <w:tc>
          <w:tcPr>
            <w:tcW w:w="2120" w:type="dxa"/>
          </w:tcPr>
          <w:p w14:paraId="116AD138" w14:textId="79006322" w:rsidR="001A30DA" w:rsidRPr="001A30DA" w:rsidRDefault="001A30DA" w:rsidP="001A30DA">
            <w:pPr>
              <w:rPr>
                <w:rFonts w:asciiTheme="majorBidi" w:hAnsiTheme="majorBidi" w:cstheme="majorBidi"/>
                <w:b/>
                <w:sz w:val="20"/>
                <w:lang w:val="en-GB"/>
              </w:rPr>
            </w:pPr>
            <w:r w:rsidRPr="001A30DA">
              <w:rPr>
                <w:rFonts w:asciiTheme="majorBidi" w:hAnsiTheme="majorBidi" w:cstheme="majorBidi"/>
                <w:b/>
                <w:sz w:val="20"/>
                <w:lang w:val="en-GB"/>
              </w:rPr>
              <w:t>1</w:t>
            </w:r>
            <w:proofErr w:type="spellStart"/>
            <w:r w:rsidRPr="001A30DA">
              <w:rPr>
                <w:rFonts w:asciiTheme="majorBidi" w:hAnsiTheme="majorBidi" w:cstheme="majorBidi"/>
                <w:b/>
                <w:sz w:val="20"/>
                <w:vertAlign w:val="superscript"/>
              </w:rPr>
              <w:t>st</w:t>
            </w:r>
            <w:proofErr w:type="spellEnd"/>
            <w:r w:rsidRPr="001A30DA">
              <w:rPr>
                <w:rFonts w:asciiTheme="majorBidi" w:hAnsiTheme="majorBidi" w:cstheme="majorBidi"/>
                <w:b/>
                <w:sz w:val="20"/>
              </w:rPr>
              <w:t xml:space="preserve"> week</w:t>
            </w:r>
          </w:p>
        </w:tc>
        <w:tc>
          <w:tcPr>
            <w:tcW w:w="6776" w:type="dxa"/>
            <w:gridSpan w:val="3"/>
          </w:tcPr>
          <w:p w14:paraId="4698788B" w14:textId="77777777" w:rsidR="001A30DA" w:rsidRPr="001A30DA" w:rsidRDefault="001A30DA" w:rsidP="001A30DA">
            <w:pPr>
              <w:rPr>
                <w:rFonts w:asciiTheme="majorBidi" w:hAnsiTheme="majorBidi" w:cstheme="majorBidi"/>
                <w:b/>
                <w:sz w:val="20"/>
              </w:rPr>
            </w:pPr>
            <w:r w:rsidRPr="001A30DA">
              <w:rPr>
                <w:rFonts w:asciiTheme="majorBidi" w:hAnsiTheme="majorBidi" w:cstheme="majorBidi"/>
                <w:b/>
                <w:sz w:val="20"/>
              </w:rPr>
              <w:t>Introduction to Russia's International Relations: From USSR to Russia</w:t>
            </w:r>
          </w:p>
          <w:p w14:paraId="62554DC0" w14:textId="77777777" w:rsidR="001A30DA" w:rsidRPr="001A30DA" w:rsidRDefault="001A30DA" w:rsidP="001A30DA">
            <w:pPr>
              <w:rPr>
                <w:rFonts w:asciiTheme="majorBidi" w:hAnsiTheme="majorBidi" w:cstheme="majorBidi"/>
                <w:sz w:val="20"/>
              </w:rPr>
            </w:pPr>
            <w:r w:rsidRPr="001A30DA">
              <w:rPr>
                <w:rFonts w:asciiTheme="majorBidi" w:hAnsiTheme="majorBidi" w:cstheme="majorBidi"/>
                <w:sz w:val="20"/>
              </w:rPr>
              <w:t>Historical Context and Russia’s Initial Key Challenges and Foreign Policy in the 1990s</w:t>
            </w:r>
          </w:p>
          <w:p w14:paraId="7D94B61B" w14:textId="77777777" w:rsidR="001A30DA" w:rsidRPr="001A30DA" w:rsidRDefault="001A30DA" w:rsidP="001A30DA">
            <w:pPr>
              <w:rPr>
                <w:rFonts w:asciiTheme="majorBidi" w:hAnsiTheme="majorBidi" w:cstheme="majorBidi"/>
                <w:color w:val="222222"/>
                <w:sz w:val="20"/>
                <w:highlight w:val="white"/>
              </w:rPr>
            </w:pPr>
          </w:p>
          <w:p w14:paraId="4D1B3793" w14:textId="77777777" w:rsidR="001A30DA" w:rsidRPr="001A30DA" w:rsidRDefault="001A30DA" w:rsidP="001A30DA">
            <w:pPr>
              <w:rPr>
                <w:rFonts w:asciiTheme="majorBidi" w:hAnsiTheme="majorBidi" w:cstheme="majorBidi"/>
                <w:color w:val="222222"/>
                <w:sz w:val="20"/>
                <w:highlight w:val="white"/>
              </w:rPr>
            </w:pPr>
            <w:r w:rsidRPr="001A30DA">
              <w:rPr>
                <w:rFonts w:asciiTheme="majorBidi" w:hAnsiTheme="majorBidi" w:cstheme="majorBidi"/>
                <w:color w:val="222222"/>
                <w:sz w:val="20"/>
                <w:highlight w:val="white"/>
              </w:rPr>
              <w:t>-Forsberg, Tuomas. "Power, interests and trust: explaining Gorbachev’s choices at the end of the Cold War." Review of International Studies 25.4 (1999): 603-621.</w:t>
            </w:r>
          </w:p>
          <w:p w14:paraId="49E91561" w14:textId="282FCF5B" w:rsidR="001A30DA" w:rsidRPr="001A30DA" w:rsidRDefault="001A30DA" w:rsidP="001A30DA">
            <w:pPr>
              <w:rPr>
                <w:rFonts w:asciiTheme="majorBidi" w:hAnsiTheme="majorBidi" w:cstheme="majorBidi"/>
                <w:sz w:val="20"/>
                <w:lang w:val="en-GB"/>
              </w:rPr>
            </w:pPr>
            <w:r w:rsidRPr="001A30DA">
              <w:rPr>
                <w:rFonts w:asciiTheme="majorBidi" w:hAnsiTheme="majorBidi" w:cstheme="majorBidi"/>
                <w:color w:val="222222"/>
                <w:sz w:val="20"/>
                <w:highlight w:val="white"/>
              </w:rPr>
              <w:t xml:space="preserve">-Wohlforth, W. C. (2001). The Russian-Soviet empire: a test of neorealism. </w:t>
            </w:r>
            <w:r w:rsidRPr="001A30DA">
              <w:rPr>
                <w:rFonts w:asciiTheme="majorBidi" w:hAnsiTheme="majorBidi" w:cstheme="majorBidi"/>
                <w:i/>
                <w:color w:val="222222"/>
                <w:sz w:val="20"/>
              </w:rPr>
              <w:t>Review of International Studies</w:t>
            </w:r>
            <w:r w:rsidRPr="001A30DA">
              <w:rPr>
                <w:rFonts w:asciiTheme="majorBidi" w:hAnsiTheme="majorBidi" w:cstheme="majorBidi"/>
                <w:color w:val="222222"/>
                <w:sz w:val="20"/>
                <w:highlight w:val="white"/>
              </w:rPr>
              <w:t xml:space="preserve">, </w:t>
            </w:r>
            <w:r w:rsidRPr="001A30DA">
              <w:rPr>
                <w:rFonts w:asciiTheme="majorBidi" w:hAnsiTheme="majorBidi" w:cstheme="majorBidi"/>
                <w:i/>
                <w:color w:val="222222"/>
                <w:sz w:val="20"/>
              </w:rPr>
              <w:t>27</w:t>
            </w:r>
            <w:r w:rsidRPr="001A30DA">
              <w:rPr>
                <w:rFonts w:asciiTheme="majorBidi" w:hAnsiTheme="majorBidi" w:cstheme="majorBidi"/>
                <w:color w:val="222222"/>
                <w:sz w:val="20"/>
                <w:highlight w:val="white"/>
              </w:rPr>
              <w:t>(5), 213-235.</w:t>
            </w:r>
          </w:p>
        </w:tc>
      </w:tr>
      <w:tr w:rsidR="001A30DA" w14:paraId="02A365BF" w14:textId="77777777" w:rsidTr="001A30DA">
        <w:trPr>
          <w:trHeight w:val="134"/>
        </w:trPr>
        <w:tc>
          <w:tcPr>
            <w:tcW w:w="2120" w:type="dxa"/>
          </w:tcPr>
          <w:p w14:paraId="4BCFC998" w14:textId="29F51A5C" w:rsidR="001A30DA" w:rsidRPr="001A30DA" w:rsidRDefault="001A30DA" w:rsidP="001A30DA">
            <w:pPr>
              <w:rPr>
                <w:rFonts w:asciiTheme="majorBidi" w:hAnsiTheme="majorBidi" w:cstheme="majorBidi"/>
                <w:b/>
                <w:sz w:val="20"/>
              </w:rPr>
            </w:pPr>
            <w:r w:rsidRPr="001A30DA">
              <w:rPr>
                <w:rFonts w:asciiTheme="majorBidi" w:hAnsiTheme="majorBidi" w:cstheme="majorBidi"/>
                <w:b/>
                <w:sz w:val="20"/>
                <w:lang w:val="el-GR"/>
              </w:rPr>
              <w:t>2</w:t>
            </w:r>
            <w:proofErr w:type="spellStart"/>
            <w:r w:rsidRPr="001A30DA">
              <w:rPr>
                <w:rFonts w:asciiTheme="majorBidi" w:hAnsiTheme="majorBidi" w:cstheme="majorBidi"/>
                <w:b/>
                <w:sz w:val="20"/>
                <w:vertAlign w:val="superscript"/>
              </w:rPr>
              <w:t>nd</w:t>
            </w:r>
            <w:proofErr w:type="spellEnd"/>
            <w:r w:rsidRPr="001A30DA">
              <w:rPr>
                <w:rFonts w:asciiTheme="majorBidi" w:hAnsiTheme="majorBidi" w:cstheme="majorBidi"/>
                <w:b/>
                <w:sz w:val="20"/>
              </w:rPr>
              <w:t xml:space="preserve"> week</w:t>
            </w:r>
          </w:p>
        </w:tc>
        <w:tc>
          <w:tcPr>
            <w:tcW w:w="6776" w:type="dxa"/>
            <w:gridSpan w:val="3"/>
          </w:tcPr>
          <w:p w14:paraId="33B35BD9" w14:textId="77777777" w:rsidR="001A30DA" w:rsidRPr="001A30DA" w:rsidRDefault="001A30DA" w:rsidP="001A30DA">
            <w:pPr>
              <w:rPr>
                <w:rFonts w:asciiTheme="majorBidi" w:hAnsiTheme="majorBidi" w:cstheme="majorBidi"/>
                <w:b/>
                <w:bCs/>
                <w:sz w:val="20"/>
                <w:lang w:val="en-GB"/>
              </w:rPr>
            </w:pPr>
            <w:r w:rsidRPr="001A30DA">
              <w:rPr>
                <w:rFonts w:asciiTheme="majorBidi" w:hAnsiTheme="majorBidi" w:cstheme="majorBidi"/>
                <w:b/>
                <w:bCs/>
                <w:sz w:val="20"/>
                <w:lang w:val="en-GB"/>
              </w:rPr>
              <w:t>Russia and Key Global Actors: Russia’s relations with the US, the EU and China</w:t>
            </w:r>
          </w:p>
          <w:p w14:paraId="02D76E80" w14:textId="77777777" w:rsidR="001A30DA" w:rsidRPr="001A30DA" w:rsidRDefault="001A30DA" w:rsidP="001A30DA">
            <w:pPr>
              <w:rPr>
                <w:rFonts w:asciiTheme="majorBidi" w:hAnsiTheme="majorBidi" w:cstheme="majorBidi"/>
                <w:sz w:val="20"/>
                <w:lang w:val="en-GB"/>
              </w:rPr>
            </w:pPr>
            <w:r w:rsidRPr="001A30DA">
              <w:rPr>
                <w:rFonts w:asciiTheme="majorBidi" w:hAnsiTheme="majorBidi" w:cstheme="majorBidi"/>
                <w:sz w:val="20"/>
                <w:lang w:val="en-GB"/>
              </w:rPr>
              <w:t xml:space="preserve">We will explore Russia's relations with key global actors, including the United States, the European Union, and China. The lecture provides insights into the multifaceted dimensions of these relationships, encompassing political, economic, and strategic aspects. It examines the ways in which Russia navigates its interactions with these major players, highlighting both areas of cooperation and contention. </w:t>
            </w:r>
          </w:p>
          <w:p w14:paraId="1DB6CFBC" w14:textId="77777777" w:rsidR="001A30DA" w:rsidRPr="001A30DA" w:rsidRDefault="001A30DA" w:rsidP="001A30DA">
            <w:pPr>
              <w:rPr>
                <w:rFonts w:asciiTheme="majorBidi" w:hAnsiTheme="majorBidi" w:cstheme="majorBidi"/>
                <w:sz w:val="20"/>
                <w:lang w:val="en-GB"/>
              </w:rPr>
            </w:pPr>
          </w:p>
          <w:p w14:paraId="094C31B9" w14:textId="77777777" w:rsidR="001A30DA" w:rsidRPr="001A30DA" w:rsidRDefault="001A30DA" w:rsidP="001A30DA">
            <w:pPr>
              <w:rPr>
                <w:rFonts w:asciiTheme="majorBidi" w:hAnsiTheme="majorBidi" w:cstheme="majorBidi"/>
                <w:sz w:val="20"/>
                <w:lang w:val="en-GB"/>
              </w:rPr>
            </w:pPr>
            <w:r w:rsidRPr="001A30DA">
              <w:rPr>
                <w:rFonts w:asciiTheme="majorBidi" w:hAnsiTheme="majorBidi" w:cstheme="majorBidi"/>
                <w:sz w:val="20"/>
                <w:lang w:val="en-GB"/>
              </w:rPr>
              <w:t>-Korolev, A., &amp; Portyakov, V. (2021). China–Russia relations in times of crisis: A neoclassical realist explanation. In Russia in the Indo-Pacific (pp. 15-34). Routledge</w:t>
            </w:r>
          </w:p>
          <w:p w14:paraId="4B1C4931" w14:textId="77777777" w:rsidR="001A30DA" w:rsidRPr="001A30DA" w:rsidRDefault="001A30DA" w:rsidP="001A30DA">
            <w:pPr>
              <w:rPr>
                <w:rFonts w:asciiTheme="majorBidi" w:hAnsiTheme="majorBidi" w:cstheme="majorBidi"/>
                <w:sz w:val="20"/>
                <w:lang w:val="en-GB"/>
              </w:rPr>
            </w:pPr>
            <w:r w:rsidRPr="001A30DA">
              <w:rPr>
                <w:rFonts w:asciiTheme="majorBidi" w:hAnsiTheme="majorBidi" w:cstheme="majorBidi"/>
                <w:sz w:val="20"/>
                <w:lang w:val="en-GB"/>
              </w:rPr>
              <w:t>-Light, M. (2008). Russia and the EU: Strategic partners or strategic rivals. Journal of Common Market Studies, 46, 7.</w:t>
            </w:r>
          </w:p>
          <w:p w14:paraId="1730C57A" w14:textId="77777777" w:rsidR="001A30DA" w:rsidRPr="001A30DA" w:rsidRDefault="001A30DA" w:rsidP="001A30DA">
            <w:pPr>
              <w:rPr>
                <w:rFonts w:asciiTheme="majorBidi" w:hAnsiTheme="majorBidi" w:cstheme="majorBidi"/>
                <w:sz w:val="20"/>
                <w:lang w:val="en-GB"/>
              </w:rPr>
            </w:pPr>
            <w:r w:rsidRPr="001A30DA">
              <w:rPr>
                <w:rFonts w:asciiTheme="majorBidi" w:hAnsiTheme="majorBidi" w:cstheme="majorBidi"/>
                <w:sz w:val="20"/>
                <w:lang w:val="en-GB"/>
              </w:rPr>
              <w:t>-Meister, S. (2022). A paradigm shift: EU-Russia relations after the war in Ukraine. Carnegie Europe</w:t>
            </w:r>
          </w:p>
          <w:p w14:paraId="4514A9A5" w14:textId="77777777" w:rsidR="001A30DA" w:rsidRPr="001A30DA" w:rsidRDefault="001A30DA" w:rsidP="001A30DA">
            <w:pPr>
              <w:rPr>
                <w:rFonts w:asciiTheme="majorBidi" w:hAnsiTheme="majorBidi" w:cstheme="majorBidi"/>
                <w:sz w:val="20"/>
                <w:lang w:val="en-GB"/>
              </w:rPr>
            </w:pPr>
            <w:r w:rsidRPr="001A30DA">
              <w:rPr>
                <w:rFonts w:asciiTheme="majorBidi" w:hAnsiTheme="majorBidi" w:cstheme="majorBidi"/>
                <w:sz w:val="20"/>
                <w:lang w:val="en-GB"/>
              </w:rPr>
              <w:t>-</w:t>
            </w:r>
            <w:proofErr w:type="spellStart"/>
            <w:r w:rsidRPr="001A30DA">
              <w:rPr>
                <w:rFonts w:asciiTheme="majorBidi" w:hAnsiTheme="majorBidi" w:cstheme="majorBidi"/>
                <w:sz w:val="20"/>
                <w:lang w:val="en-GB"/>
              </w:rPr>
              <w:t>Wishnick</w:t>
            </w:r>
            <w:proofErr w:type="spellEnd"/>
            <w:r w:rsidRPr="001A30DA">
              <w:rPr>
                <w:rFonts w:asciiTheme="majorBidi" w:hAnsiTheme="majorBidi" w:cstheme="majorBidi"/>
                <w:sz w:val="20"/>
                <w:lang w:val="en-GB"/>
              </w:rPr>
              <w:t>, E. (2017). In search of the ‘</w:t>
            </w:r>
            <w:proofErr w:type="spellStart"/>
            <w:r w:rsidRPr="001A30DA">
              <w:rPr>
                <w:rFonts w:asciiTheme="majorBidi" w:hAnsiTheme="majorBidi" w:cstheme="majorBidi"/>
                <w:sz w:val="20"/>
                <w:lang w:val="en-GB"/>
              </w:rPr>
              <w:t>Other’in</w:t>
            </w:r>
            <w:proofErr w:type="spellEnd"/>
            <w:r w:rsidRPr="001A30DA">
              <w:rPr>
                <w:rFonts w:asciiTheme="majorBidi" w:hAnsiTheme="majorBidi" w:cstheme="majorBidi"/>
                <w:sz w:val="20"/>
                <w:lang w:val="en-GB"/>
              </w:rPr>
              <w:t xml:space="preserve"> Asia: Russia–China relations revisited. The Pacific Review, 30(1), 114-132.</w:t>
            </w:r>
          </w:p>
          <w:p w14:paraId="249BA8B1" w14:textId="52E04B10" w:rsidR="001A30DA" w:rsidRPr="00242D91" w:rsidRDefault="001A30DA" w:rsidP="00242D91">
            <w:pPr>
              <w:rPr>
                <w:rFonts w:asciiTheme="majorBidi" w:hAnsiTheme="majorBidi" w:cstheme="majorBidi"/>
                <w:sz w:val="20"/>
                <w:lang w:val="en-GB"/>
              </w:rPr>
            </w:pPr>
            <w:r w:rsidRPr="001A30DA">
              <w:rPr>
                <w:rFonts w:asciiTheme="majorBidi" w:hAnsiTheme="majorBidi" w:cstheme="majorBidi"/>
                <w:sz w:val="20"/>
                <w:lang w:val="en-GB"/>
              </w:rPr>
              <w:t xml:space="preserve">-Wohlforth, W. C., &amp; </w:t>
            </w:r>
            <w:proofErr w:type="spellStart"/>
            <w:r w:rsidRPr="001A30DA">
              <w:rPr>
                <w:rFonts w:asciiTheme="majorBidi" w:hAnsiTheme="majorBidi" w:cstheme="majorBidi"/>
                <w:sz w:val="20"/>
                <w:lang w:val="en-GB"/>
              </w:rPr>
              <w:t>Zubok</w:t>
            </w:r>
            <w:proofErr w:type="spellEnd"/>
            <w:r w:rsidRPr="001A30DA">
              <w:rPr>
                <w:rFonts w:asciiTheme="majorBidi" w:hAnsiTheme="majorBidi" w:cstheme="majorBidi"/>
                <w:sz w:val="20"/>
                <w:lang w:val="en-GB"/>
              </w:rPr>
              <w:t xml:space="preserve">, V. M. (2017). An abiding antagonism: realism, </w:t>
            </w:r>
            <w:proofErr w:type="gramStart"/>
            <w:r w:rsidRPr="001A30DA">
              <w:rPr>
                <w:rFonts w:asciiTheme="majorBidi" w:hAnsiTheme="majorBidi" w:cstheme="majorBidi"/>
                <w:sz w:val="20"/>
                <w:lang w:val="en-GB"/>
              </w:rPr>
              <w:t>idealism</w:t>
            </w:r>
            <w:proofErr w:type="gramEnd"/>
            <w:r w:rsidRPr="001A30DA">
              <w:rPr>
                <w:rFonts w:asciiTheme="majorBidi" w:hAnsiTheme="majorBidi" w:cstheme="majorBidi"/>
                <w:sz w:val="20"/>
                <w:lang w:val="en-GB"/>
              </w:rPr>
              <w:t xml:space="preserve"> and the mirage of western–Russian partnership after the Cold War. International Politics, 54, 405-419.</w:t>
            </w:r>
          </w:p>
        </w:tc>
      </w:tr>
      <w:tr w:rsidR="001A30DA" w14:paraId="28DC74D2" w14:textId="77777777" w:rsidTr="001A30DA">
        <w:trPr>
          <w:trHeight w:val="134"/>
        </w:trPr>
        <w:tc>
          <w:tcPr>
            <w:tcW w:w="2120" w:type="dxa"/>
          </w:tcPr>
          <w:p w14:paraId="518302E3" w14:textId="4F7BF9A6" w:rsidR="001A30DA" w:rsidRPr="001A30DA" w:rsidRDefault="001A30DA" w:rsidP="001A30DA">
            <w:pPr>
              <w:rPr>
                <w:rFonts w:asciiTheme="majorBidi" w:hAnsiTheme="majorBidi" w:cstheme="majorBidi"/>
                <w:b/>
                <w:sz w:val="20"/>
                <w:lang w:val="en-GB"/>
              </w:rPr>
            </w:pPr>
            <w:r w:rsidRPr="001A30DA">
              <w:rPr>
                <w:rFonts w:asciiTheme="majorBidi" w:hAnsiTheme="majorBidi" w:cstheme="majorBidi"/>
                <w:b/>
                <w:sz w:val="20"/>
                <w:lang w:val="el-GR"/>
              </w:rPr>
              <w:lastRenderedPageBreak/>
              <w:t>3</w:t>
            </w:r>
            <w:proofErr w:type="spellStart"/>
            <w:r w:rsidRPr="001A30DA">
              <w:rPr>
                <w:rFonts w:asciiTheme="majorBidi" w:hAnsiTheme="majorBidi" w:cstheme="majorBidi"/>
                <w:b/>
                <w:sz w:val="20"/>
                <w:vertAlign w:val="superscript"/>
              </w:rPr>
              <w:t>rd</w:t>
            </w:r>
            <w:proofErr w:type="spellEnd"/>
            <w:r w:rsidRPr="001A30DA">
              <w:rPr>
                <w:rFonts w:asciiTheme="majorBidi" w:hAnsiTheme="majorBidi" w:cstheme="majorBidi"/>
                <w:b/>
                <w:sz w:val="20"/>
                <w:vertAlign w:val="superscript"/>
                <w:lang w:val="el-GR"/>
              </w:rPr>
              <w:t xml:space="preserve"> </w:t>
            </w:r>
            <w:r w:rsidRPr="001A30DA">
              <w:rPr>
                <w:rFonts w:asciiTheme="majorBidi" w:hAnsiTheme="majorBidi" w:cstheme="majorBidi"/>
                <w:b/>
                <w:sz w:val="20"/>
              </w:rPr>
              <w:t>week</w:t>
            </w:r>
          </w:p>
        </w:tc>
        <w:tc>
          <w:tcPr>
            <w:tcW w:w="6776" w:type="dxa"/>
            <w:gridSpan w:val="3"/>
          </w:tcPr>
          <w:p w14:paraId="493ABCD8" w14:textId="77777777" w:rsidR="001A30DA" w:rsidRPr="001A30DA" w:rsidRDefault="001A30DA" w:rsidP="001A30DA">
            <w:pPr>
              <w:rPr>
                <w:rFonts w:asciiTheme="majorBidi" w:hAnsiTheme="majorBidi" w:cstheme="majorBidi"/>
                <w:b/>
                <w:sz w:val="20"/>
              </w:rPr>
            </w:pPr>
            <w:r w:rsidRPr="001A30DA">
              <w:rPr>
                <w:rFonts w:asciiTheme="majorBidi" w:hAnsiTheme="majorBidi" w:cstheme="majorBidi"/>
                <w:b/>
                <w:sz w:val="20"/>
              </w:rPr>
              <w:t>Russia's Soft Power - the concept of the "Russian World" (</w:t>
            </w:r>
            <w:proofErr w:type="spellStart"/>
            <w:r w:rsidRPr="001A30DA">
              <w:rPr>
                <w:rFonts w:asciiTheme="majorBidi" w:hAnsiTheme="majorBidi" w:cstheme="majorBidi"/>
                <w:b/>
                <w:sz w:val="20"/>
              </w:rPr>
              <w:t>Russkiy</w:t>
            </w:r>
            <w:proofErr w:type="spellEnd"/>
            <w:r w:rsidRPr="001A30DA">
              <w:rPr>
                <w:rFonts w:asciiTheme="majorBidi" w:hAnsiTheme="majorBidi" w:cstheme="majorBidi"/>
                <w:b/>
                <w:sz w:val="20"/>
              </w:rPr>
              <w:t xml:space="preserve"> Mir)</w:t>
            </w:r>
          </w:p>
          <w:p w14:paraId="6D6B83A2" w14:textId="77777777" w:rsidR="001A30DA" w:rsidRPr="001A30DA" w:rsidRDefault="001A30DA" w:rsidP="001A30DA">
            <w:pPr>
              <w:rPr>
                <w:rFonts w:asciiTheme="majorBidi" w:hAnsiTheme="majorBidi" w:cstheme="majorBidi"/>
                <w:sz w:val="20"/>
              </w:rPr>
            </w:pPr>
            <w:r w:rsidRPr="001A30DA">
              <w:rPr>
                <w:rFonts w:asciiTheme="majorBidi" w:hAnsiTheme="majorBidi" w:cstheme="majorBidi"/>
                <w:sz w:val="20"/>
              </w:rPr>
              <w:t>Russia's use of cultural, educational, and media tools to promote its image globally. Examination of How the “Russian World” concept Influences Russia's foreign policy, especially in Former Soviet States</w:t>
            </w:r>
          </w:p>
          <w:p w14:paraId="50A5BD89" w14:textId="77777777" w:rsidR="001A30DA" w:rsidRPr="001A30DA" w:rsidRDefault="001A30DA" w:rsidP="001A30DA">
            <w:pPr>
              <w:rPr>
                <w:rFonts w:asciiTheme="majorBidi" w:hAnsiTheme="majorBidi" w:cstheme="majorBidi"/>
                <w:sz w:val="20"/>
              </w:rPr>
            </w:pPr>
          </w:p>
          <w:p w14:paraId="016508F7" w14:textId="77777777" w:rsidR="001A30DA" w:rsidRPr="001A30DA" w:rsidRDefault="001A30DA" w:rsidP="001A30DA">
            <w:pPr>
              <w:rPr>
                <w:rFonts w:asciiTheme="majorBidi" w:hAnsiTheme="majorBidi" w:cstheme="majorBidi"/>
                <w:sz w:val="20"/>
              </w:rPr>
            </w:pPr>
            <w:r w:rsidRPr="001A30DA">
              <w:rPr>
                <w:rFonts w:asciiTheme="majorBidi" w:hAnsiTheme="majorBidi" w:cstheme="majorBidi"/>
                <w:sz w:val="20"/>
              </w:rPr>
              <w:t>-</w:t>
            </w:r>
            <w:proofErr w:type="spellStart"/>
            <w:r w:rsidRPr="001A30DA">
              <w:rPr>
                <w:rFonts w:asciiTheme="majorBidi" w:hAnsiTheme="majorBidi" w:cstheme="majorBidi"/>
                <w:sz w:val="20"/>
              </w:rPr>
              <w:t>Feklyunina</w:t>
            </w:r>
            <w:proofErr w:type="spellEnd"/>
            <w:r w:rsidRPr="001A30DA">
              <w:rPr>
                <w:rFonts w:asciiTheme="majorBidi" w:hAnsiTheme="majorBidi" w:cstheme="majorBidi"/>
                <w:sz w:val="20"/>
              </w:rPr>
              <w:t xml:space="preserve">, V. (2016) “Soft power and identity: Russia, Ukraine and the ‘Russian world(s)’”, </w:t>
            </w:r>
            <w:r w:rsidRPr="001A30DA">
              <w:rPr>
                <w:rFonts w:asciiTheme="majorBidi" w:hAnsiTheme="majorBidi" w:cstheme="majorBidi"/>
                <w:i/>
                <w:sz w:val="20"/>
              </w:rPr>
              <w:t xml:space="preserve">European Journal of International Relations. </w:t>
            </w:r>
            <w:r w:rsidRPr="001A30DA">
              <w:rPr>
                <w:rFonts w:asciiTheme="majorBidi" w:hAnsiTheme="majorBidi" w:cstheme="majorBidi"/>
                <w:sz w:val="20"/>
              </w:rPr>
              <w:t>Vol. 22(4), pp. 773–796. DOI: https://doi.org/10.1177/1354066115601200.</w:t>
            </w:r>
          </w:p>
          <w:p w14:paraId="1C159731" w14:textId="77777777" w:rsidR="001A30DA" w:rsidRPr="001A30DA" w:rsidRDefault="001A30DA" w:rsidP="001A30DA">
            <w:pPr>
              <w:rPr>
                <w:rFonts w:asciiTheme="majorBidi" w:hAnsiTheme="majorBidi" w:cstheme="majorBidi"/>
                <w:sz w:val="20"/>
              </w:rPr>
            </w:pPr>
            <w:r w:rsidRPr="001A30DA">
              <w:rPr>
                <w:rFonts w:asciiTheme="majorBidi" w:hAnsiTheme="majorBidi" w:cstheme="majorBidi"/>
                <w:sz w:val="20"/>
              </w:rPr>
              <w:t>-Rotaru, V. (2018) “Forced attraction? How Russia is instrumentalizing its soft power sources in the ‘near abroad’”, Problems of Post-Communism. Vol. 65(1), pp. 37–48. DOI: https://doi.org/10.1080/10758216.2016.127</w:t>
            </w:r>
          </w:p>
          <w:p w14:paraId="2A12A8A4" w14:textId="0355F3C5" w:rsidR="001A30DA" w:rsidRPr="001A30DA" w:rsidRDefault="001A30DA" w:rsidP="001A30DA">
            <w:pPr>
              <w:rPr>
                <w:rFonts w:asciiTheme="majorBidi" w:hAnsiTheme="majorBidi" w:cstheme="majorBidi"/>
                <w:sz w:val="20"/>
              </w:rPr>
            </w:pPr>
            <w:r w:rsidRPr="001A30DA">
              <w:rPr>
                <w:rFonts w:asciiTheme="majorBidi" w:hAnsiTheme="majorBidi" w:cstheme="majorBidi"/>
                <w:sz w:val="20"/>
              </w:rPr>
              <w:t>6400.</w:t>
            </w:r>
          </w:p>
        </w:tc>
      </w:tr>
      <w:tr w:rsidR="001A30DA" w14:paraId="5775CE1E" w14:textId="77777777" w:rsidTr="001A30DA">
        <w:trPr>
          <w:trHeight w:val="134"/>
        </w:trPr>
        <w:tc>
          <w:tcPr>
            <w:tcW w:w="2120" w:type="dxa"/>
          </w:tcPr>
          <w:p w14:paraId="2C7A5C94" w14:textId="1C7D7617" w:rsidR="001A30DA" w:rsidRPr="001A30DA" w:rsidRDefault="001A30DA" w:rsidP="001A30DA">
            <w:pPr>
              <w:rPr>
                <w:rFonts w:asciiTheme="majorBidi" w:hAnsiTheme="majorBidi" w:cstheme="majorBidi"/>
                <w:b/>
                <w:sz w:val="20"/>
              </w:rPr>
            </w:pPr>
            <w:r w:rsidRPr="001A30DA">
              <w:rPr>
                <w:rFonts w:asciiTheme="majorBidi" w:hAnsiTheme="majorBidi" w:cstheme="majorBidi"/>
                <w:b/>
                <w:sz w:val="20"/>
                <w:lang w:val="el-GR"/>
              </w:rPr>
              <w:t>4</w:t>
            </w:r>
            <w:proofErr w:type="spellStart"/>
            <w:r w:rsidRPr="001A30DA">
              <w:rPr>
                <w:rFonts w:asciiTheme="majorBidi" w:hAnsiTheme="majorBidi" w:cstheme="majorBidi"/>
                <w:b/>
                <w:sz w:val="20"/>
                <w:vertAlign w:val="superscript"/>
              </w:rPr>
              <w:t>th</w:t>
            </w:r>
            <w:proofErr w:type="spellEnd"/>
            <w:r w:rsidRPr="001A30DA">
              <w:rPr>
                <w:rFonts w:asciiTheme="majorBidi" w:hAnsiTheme="majorBidi" w:cstheme="majorBidi"/>
                <w:b/>
                <w:sz w:val="20"/>
              </w:rPr>
              <w:t xml:space="preserve"> week</w:t>
            </w:r>
          </w:p>
        </w:tc>
        <w:tc>
          <w:tcPr>
            <w:tcW w:w="6776" w:type="dxa"/>
            <w:gridSpan w:val="3"/>
          </w:tcPr>
          <w:p w14:paraId="60D56534" w14:textId="77777777" w:rsidR="001A30DA" w:rsidRPr="001A30DA" w:rsidRDefault="001A30DA" w:rsidP="001A30DA">
            <w:pPr>
              <w:rPr>
                <w:rFonts w:asciiTheme="majorBidi" w:hAnsiTheme="majorBidi" w:cstheme="majorBidi"/>
                <w:b/>
                <w:sz w:val="20"/>
              </w:rPr>
            </w:pPr>
            <w:r w:rsidRPr="001A30DA">
              <w:rPr>
                <w:rFonts w:asciiTheme="majorBidi" w:hAnsiTheme="majorBidi" w:cstheme="majorBidi"/>
                <w:b/>
                <w:sz w:val="20"/>
              </w:rPr>
              <w:t>Disinformation and Information Warfare</w:t>
            </w:r>
          </w:p>
          <w:p w14:paraId="75987708" w14:textId="77777777" w:rsidR="001A30DA" w:rsidRPr="001A30DA" w:rsidRDefault="001A30DA" w:rsidP="001A30DA">
            <w:pPr>
              <w:rPr>
                <w:rFonts w:asciiTheme="majorBidi" w:hAnsiTheme="majorBidi" w:cstheme="majorBidi"/>
                <w:sz w:val="20"/>
              </w:rPr>
            </w:pPr>
            <w:r w:rsidRPr="001A30DA">
              <w:rPr>
                <w:rFonts w:asciiTheme="majorBidi" w:hAnsiTheme="majorBidi" w:cstheme="majorBidi"/>
                <w:sz w:val="20"/>
              </w:rPr>
              <w:t xml:space="preserve">Russia's use of disinformation as a tool in international relations. Case studies, including interference in Western elections and propaganda </w:t>
            </w:r>
            <w:proofErr w:type="gramStart"/>
            <w:r w:rsidRPr="001A30DA">
              <w:rPr>
                <w:rFonts w:asciiTheme="majorBidi" w:hAnsiTheme="majorBidi" w:cstheme="majorBidi"/>
                <w:sz w:val="20"/>
              </w:rPr>
              <w:t>efforts</w:t>
            </w:r>
            <w:proofErr w:type="gramEnd"/>
          </w:p>
          <w:p w14:paraId="751B6F14" w14:textId="77777777" w:rsidR="001A30DA" w:rsidRPr="001A30DA" w:rsidRDefault="001A30DA" w:rsidP="001A30DA">
            <w:pPr>
              <w:rPr>
                <w:rFonts w:asciiTheme="majorBidi" w:hAnsiTheme="majorBidi" w:cstheme="majorBidi"/>
                <w:sz w:val="20"/>
              </w:rPr>
            </w:pPr>
          </w:p>
          <w:p w14:paraId="3881582A" w14:textId="77777777" w:rsidR="001A30DA" w:rsidRPr="001A30DA" w:rsidRDefault="001A30DA" w:rsidP="001A30DA">
            <w:pPr>
              <w:rPr>
                <w:rFonts w:asciiTheme="majorBidi" w:hAnsiTheme="majorBidi" w:cstheme="majorBidi"/>
                <w:sz w:val="20"/>
              </w:rPr>
            </w:pPr>
            <w:r w:rsidRPr="001A30DA">
              <w:rPr>
                <w:rFonts w:asciiTheme="majorBidi" w:hAnsiTheme="majorBidi" w:cstheme="majorBidi"/>
                <w:color w:val="222222"/>
                <w:sz w:val="20"/>
                <w:highlight w:val="white"/>
              </w:rPr>
              <w:t xml:space="preserve">-Kastner, J., &amp; Wohlforth, W. C. (2021). A Measure Short of War: The Return of Great-Power Subversion. </w:t>
            </w:r>
            <w:r w:rsidRPr="001A30DA">
              <w:rPr>
                <w:rFonts w:asciiTheme="majorBidi" w:hAnsiTheme="majorBidi" w:cstheme="majorBidi"/>
                <w:i/>
                <w:color w:val="222222"/>
                <w:sz w:val="20"/>
              </w:rPr>
              <w:t xml:space="preserve">Foreign </w:t>
            </w:r>
            <w:proofErr w:type="spellStart"/>
            <w:r w:rsidRPr="001A30DA">
              <w:rPr>
                <w:rFonts w:asciiTheme="majorBidi" w:hAnsiTheme="majorBidi" w:cstheme="majorBidi"/>
                <w:i/>
                <w:color w:val="222222"/>
                <w:sz w:val="20"/>
              </w:rPr>
              <w:t>Aff</w:t>
            </w:r>
            <w:proofErr w:type="spellEnd"/>
            <w:r w:rsidRPr="001A30DA">
              <w:rPr>
                <w:rFonts w:asciiTheme="majorBidi" w:hAnsiTheme="majorBidi" w:cstheme="majorBidi"/>
                <w:i/>
                <w:color w:val="222222"/>
                <w:sz w:val="20"/>
              </w:rPr>
              <w:t>.</w:t>
            </w:r>
            <w:r w:rsidRPr="001A30DA">
              <w:rPr>
                <w:rFonts w:asciiTheme="majorBidi" w:hAnsiTheme="majorBidi" w:cstheme="majorBidi"/>
                <w:color w:val="222222"/>
                <w:sz w:val="20"/>
                <w:highlight w:val="white"/>
              </w:rPr>
              <w:t xml:space="preserve">, </w:t>
            </w:r>
            <w:r w:rsidRPr="001A30DA">
              <w:rPr>
                <w:rFonts w:asciiTheme="majorBidi" w:hAnsiTheme="majorBidi" w:cstheme="majorBidi"/>
                <w:i/>
                <w:color w:val="222222"/>
                <w:sz w:val="20"/>
              </w:rPr>
              <w:t>100</w:t>
            </w:r>
            <w:r w:rsidRPr="001A30DA">
              <w:rPr>
                <w:rFonts w:asciiTheme="majorBidi" w:hAnsiTheme="majorBidi" w:cstheme="majorBidi"/>
                <w:color w:val="222222"/>
                <w:sz w:val="20"/>
                <w:highlight w:val="white"/>
              </w:rPr>
              <w:t>, 118.</w:t>
            </w:r>
          </w:p>
          <w:p w14:paraId="55200D83" w14:textId="77777777" w:rsidR="001A30DA" w:rsidRPr="001A30DA" w:rsidRDefault="001A30DA" w:rsidP="001A30DA">
            <w:pPr>
              <w:rPr>
                <w:rFonts w:asciiTheme="majorBidi" w:hAnsiTheme="majorBidi" w:cstheme="majorBidi"/>
                <w:color w:val="222222"/>
                <w:sz w:val="20"/>
                <w:highlight w:val="white"/>
              </w:rPr>
            </w:pPr>
            <w:r w:rsidRPr="001A30DA">
              <w:rPr>
                <w:rFonts w:asciiTheme="majorBidi" w:hAnsiTheme="majorBidi" w:cstheme="majorBidi"/>
                <w:color w:val="222222"/>
                <w:sz w:val="20"/>
                <w:highlight w:val="white"/>
              </w:rPr>
              <w:t xml:space="preserve">-Geissler, D., Bär, D., </w:t>
            </w:r>
            <w:proofErr w:type="spellStart"/>
            <w:r w:rsidRPr="001A30DA">
              <w:rPr>
                <w:rFonts w:asciiTheme="majorBidi" w:hAnsiTheme="majorBidi" w:cstheme="majorBidi"/>
                <w:color w:val="222222"/>
                <w:sz w:val="20"/>
                <w:highlight w:val="white"/>
              </w:rPr>
              <w:t>Pröllochs</w:t>
            </w:r>
            <w:proofErr w:type="spellEnd"/>
            <w:r w:rsidRPr="001A30DA">
              <w:rPr>
                <w:rFonts w:asciiTheme="majorBidi" w:hAnsiTheme="majorBidi" w:cstheme="majorBidi"/>
                <w:color w:val="222222"/>
                <w:sz w:val="20"/>
                <w:highlight w:val="white"/>
              </w:rPr>
              <w:t xml:space="preserve">, N., &amp; </w:t>
            </w:r>
            <w:proofErr w:type="spellStart"/>
            <w:r w:rsidRPr="001A30DA">
              <w:rPr>
                <w:rFonts w:asciiTheme="majorBidi" w:hAnsiTheme="majorBidi" w:cstheme="majorBidi"/>
                <w:color w:val="222222"/>
                <w:sz w:val="20"/>
                <w:highlight w:val="white"/>
              </w:rPr>
              <w:t>Feuerriegel</w:t>
            </w:r>
            <w:proofErr w:type="spellEnd"/>
            <w:r w:rsidRPr="001A30DA">
              <w:rPr>
                <w:rFonts w:asciiTheme="majorBidi" w:hAnsiTheme="majorBidi" w:cstheme="majorBidi"/>
                <w:color w:val="222222"/>
                <w:sz w:val="20"/>
                <w:highlight w:val="white"/>
              </w:rPr>
              <w:t xml:space="preserve">, S. (2023). Russian propaganda on social media during the 2022 invasion of Ukraine. </w:t>
            </w:r>
            <w:r w:rsidRPr="001A30DA">
              <w:rPr>
                <w:rFonts w:asciiTheme="majorBidi" w:hAnsiTheme="majorBidi" w:cstheme="majorBidi"/>
                <w:i/>
                <w:color w:val="222222"/>
                <w:sz w:val="20"/>
              </w:rPr>
              <w:t>EPJ Data Science</w:t>
            </w:r>
            <w:r w:rsidRPr="001A30DA">
              <w:rPr>
                <w:rFonts w:asciiTheme="majorBidi" w:hAnsiTheme="majorBidi" w:cstheme="majorBidi"/>
                <w:color w:val="222222"/>
                <w:sz w:val="20"/>
                <w:highlight w:val="white"/>
              </w:rPr>
              <w:t xml:space="preserve">, </w:t>
            </w:r>
            <w:r w:rsidRPr="001A30DA">
              <w:rPr>
                <w:rFonts w:asciiTheme="majorBidi" w:hAnsiTheme="majorBidi" w:cstheme="majorBidi"/>
                <w:i/>
                <w:color w:val="222222"/>
                <w:sz w:val="20"/>
              </w:rPr>
              <w:t>12</w:t>
            </w:r>
            <w:r w:rsidRPr="001A30DA">
              <w:rPr>
                <w:rFonts w:asciiTheme="majorBidi" w:hAnsiTheme="majorBidi" w:cstheme="majorBidi"/>
                <w:color w:val="222222"/>
                <w:sz w:val="20"/>
                <w:highlight w:val="white"/>
              </w:rPr>
              <w:t>(1), 35.</w:t>
            </w:r>
          </w:p>
          <w:p w14:paraId="280EB656" w14:textId="142F9D50" w:rsidR="001A30DA" w:rsidRPr="001A30DA" w:rsidRDefault="001A30DA" w:rsidP="001A30DA">
            <w:pPr>
              <w:rPr>
                <w:rFonts w:asciiTheme="majorBidi" w:hAnsiTheme="majorBidi" w:cstheme="majorBidi"/>
                <w:color w:val="222222"/>
                <w:sz w:val="20"/>
                <w:highlight w:val="white"/>
              </w:rPr>
            </w:pPr>
            <w:r w:rsidRPr="001A30DA">
              <w:rPr>
                <w:rFonts w:asciiTheme="majorBidi" w:hAnsiTheme="majorBidi" w:cstheme="majorBidi"/>
                <w:color w:val="2A2A2A"/>
                <w:sz w:val="20"/>
                <w:highlight w:val="white"/>
              </w:rPr>
              <w:t xml:space="preserve">-Yevgeniy </w:t>
            </w:r>
            <w:proofErr w:type="spellStart"/>
            <w:r w:rsidRPr="001A30DA">
              <w:rPr>
                <w:rFonts w:asciiTheme="majorBidi" w:hAnsiTheme="majorBidi" w:cstheme="majorBidi"/>
                <w:color w:val="2A2A2A"/>
                <w:sz w:val="20"/>
                <w:highlight w:val="white"/>
              </w:rPr>
              <w:t>Golovchenko</w:t>
            </w:r>
            <w:proofErr w:type="spellEnd"/>
            <w:r w:rsidRPr="001A30DA">
              <w:rPr>
                <w:rFonts w:asciiTheme="majorBidi" w:hAnsiTheme="majorBidi" w:cstheme="majorBidi"/>
                <w:color w:val="2A2A2A"/>
                <w:sz w:val="20"/>
                <w:highlight w:val="white"/>
              </w:rPr>
              <w:t xml:space="preserve">, Mareike Hartmann, Rebecca Adler-Nissen, State, media and civil society in the information warfare over Ukraine: citizen curators of digital disinformation, </w:t>
            </w:r>
            <w:r w:rsidRPr="001A30DA">
              <w:rPr>
                <w:rFonts w:asciiTheme="majorBidi" w:hAnsiTheme="majorBidi" w:cstheme="majorBidi"/>
                <w:i/>
                <w:color w:val="2A2A2A"/>
                <w:sz w:val="20"/>
                <w:highlight w:val="white"/>
              </w:rPr>
              <w:t>International Affairs</w:t>
            </w:r>
            <w:r w:rsidRPr="001A30DA">
              <w:rPr>
                <w:rFonts w:asciiTheme="majorBidi" w:hAnsiTheme="majorBidi" w:cstheme="majorBidi"/>
                <w:color w:val="2A2A2A"/>
                <w:sz w:val="20"/>
                <w:highlight w:val="white"/>
              </w:rPr>
              <w:t xml:space="preserve">, Volume 94, Issue 5, September 2018, Pages 975–994, </w:t>
            </w:r>
            <w:hyperlink r:id="rId5">
              <w:r w:rsidRPr="001A30DA">
                <w:rPr>
                  <w:rFonts w:asciiTheme="majorBidi" w:hAnsiTheme="majorBidi" w:cstheme="majorBidi"/>
                  <w:color w:val="006FB7"/>
                  <w:sz w:val="20"/>
                  <w:highlight w:val="white"/>
                </w:rPr>
                <w:t>https://doi.org/10.1093/ia/iiy148</w:t>
              </w:r>
            </w:hyperlink>
          </w:p>
        </w:tc>
      </w:tr>
      <w:tr w:rsidR="001A30DA" w14:paraId="6C1D08CE" w14:textId="77777777" w:rsidTr="001A30DA">
        <w:trPr>
          <w:trHeight w:val="134"/>
        </w:trPr>
        <w:tc>
          <w:tcPr>
            <w:tcW w:w="2120" w:type="dxa"/>
          </w:tcPr>
          <w:p w14:paraId="5D713CAC" w14:textId="10232AEB" w:rsidR="001A30DA" w:rsidRPr="001A30DA" w:rsidRDefault="001A30DA" w:rsidP="001A30DA">
            <w:pPr>
              <w:rPr>
                <w:rFonts w:asciiTheme="majorBidi" w:hAnsiTheme="majorBidi" w:cstheme="majorBidi"/>
                <w:b/>
                <w:sz w:val="20"/>
              </w:rPr>
            </w:pPr>
            <w:r w:rsidRPr="001A30DA">
              <w:rPr>
                <w:rFonts w:asciiTheme="majorBidi" w:hAnsiTheme="majorBidi" w:cstheme="majorBidi"/>
                <w:b/>
                <w:sz w:val="20"/>
                <w:lang w:val="el-GR"/>
              </w:rPr>
              <w:t>5</w:t>
            </w:r>
            <w:proofErr w:type="spellStart"/>
            <w:r w:rsidRPr="001A30DA">
              <w:rPr>
                <w:rFonts w:asciiTheme="majorBidi" w:hAnsiTheme="majorBidi" w:cstheme="majorBidi"/>
                <w:b/>
                <w:sz w:val="20"/>
                <w:vertAlign w:val="superscript"/>
              </w:rPr>
              <w:t>th</w:t>
            </w:r>
            <w:proofErr w:type="spellEnd"/>
            <w:r w:rsidRPr="001A30DA">
              <w:rPr>
                <w:rFonts w:asciiTheme="majorBidi" w:hAnsiTheme="majorBidi" w:cstheme="majorBidi"/>
                <w:b/>
                <w:sz w:val="20"/>
              </w:rPr>
              <w:t xml:space="preserve"> week</w:t>
            </w:r>
          </w:p>
        </w:tc>
        <w:tc>
          <w:tcPr>
            <w:tcW w:w="6776" w:type="dxa"/>
            <w:gridSpan w:val="3"/>
            <w:vAlign w:val="center"/>
          </w:tcPr>
          <w:p w14:paraId="3032225C" w14:textId="77777777" w:rsidR="001A30DA" w:rsidRPr="001A30DA" w:rsidRDefault="001A30DA" w:rsidP="001A30DA">
            <w:pPr>
              <w:rPr>
                <w:rFonts w:asciiTheme="majorBidi" w:hAnsiTheme="majorBidi" w:cstheme="majorBidi"/>
                <w:b/>
                <w:sz w:val="20"/>
              </w:rPr>
            </w:pPr>
            <w:r w:rsidRPr="001A30DA">
              <w:rPr>
                <w:rFonts w:asciiTheme="majorBidi" w:hAnsiTheme="majorBidi" w:cstheme="majorBidi"/>
                <w:b/>
                <w:sz w:val="20"/>
              </w:rPr>
              <w:t>Russia and Ukraine</w:t>
            </w:r>
          </w:p>
          <w:p w14:paraId="0E5CE49D" w14:textId="77777777" w:rsidR="001A30DA" w:rsidRPr="001A30DA" w:rsidRDefault="001A30DA" w:rsidP="001A30DA">
            <w:pPr>
              <w:rPr>
                <w:rFonts w:asciiTheme="majorBidi" w:hAnsiTheme="majorBidi" w:cstheme="majorBidi"/>
                <w:sz w:val="20"/>
              </w:rPr>
            </w:pPr>
            <w:r w:rsidRPr="001A30DA">
              <w:rPr>
                <w:rFonts w:asciiTheme="majorBidi" w:hAnsiTheme="majorBidi" w:cstheme="majorBidi"/>
                <w:sz w:val="20"/>
              </w:rPr>
              <w:t xml:space="preserve">Historical background and </w:t>
            </w:r>
            <w:proofErr w:type="gramStart"/>
            <w:r w:rsidRPr="001A30DA">
              <w:rPr>
                <w:rFonts w:asciiTheme="majorBidi" w:hAnsiTheme="majorBidi" w:cstheme="majorBidi"/>
                <w:sz w:val="20"/>
              </w:rPr>
              <w:t>current status</w:t>
            </w:r>
            <w:proofErr w:type="gramEnd"/>
            <w:r w:rsidRPr="001A30DA">
              <w:rPr>
                <w:rFonts w:asciiTheme="majorBidi" w:hAnsiTheme="majorBidi" w:cstheme="majorBidi"/>
                <w:sz w:val="20"/>
              </w:rPr>
              <w:t xml:space="preserve"> of the Russia-Ukraine conflict. Analysis of Russia's strategy and Ukraine's response</w:t>
            </w:r>
          </w:p>
          <w:p w14:paraId="1CBB0F90" w14:textId="77777777" w:rsidR="001A30DA" w:rsidRPr="001A30DA" w:rsidRDefault="001A30DA" w:rsidP="001A30DA">
            <w:pPr>
              <w:rPr>
                <w:rFonts w:asciiTheme="majorBidi" w:hAnsiTheme="majorBidi" w:cstheme="majorBidi"/>
                <w:sz w:val="20"/>
              </w:rPr>
            </w:pPr>
          </w:p>
          <w:p w14:paraId="4F50C773" w14:textId="77777777" w:rsidR="001A30DA" w:rsidRPr="001A30DA" w:rsidRDefault="001A30DA" w:rsidP="001A30DA">
            <w:pPr>
              <w:rPr>
                <w:rFonts w:asciiTheme="majorBidi" w:hAnsiTheme="majorBidi" w:cstheme="majorBidi"/>
                <w:sz w:val="20"/>
              </w:rPr>
            </w:pPr>
            <w:r w:rsidRPr="001A30DA">
              <w:rPr>
                <w:rFonts w:asciiTheme="majorBidi" w:hAnsiTheme="majorBidi" w:cstheme="majorBidi"/>
                <w:sz w:val="20"/>
              </w:rPr>
              <w:t xml:space="preserve">-Pedi, R. (2020) </w:t>
            </w:r>
            <w:r w:rsidRPr="001A30DA">
              <w:rPr>
                <w:rFonts w:asciiTheme="majorBidi" w:hAnsiTheme="majorBidi" w:cstheme="majorBidi"/>
                <w:i/>
                <w:sz w:val="20"/>
              </w:rPr>
              <w:t xml:space="preserve">Small states in Europe as a buffer between East and West </w:t>
            </w:r>
            <w:r w:rsidRPr="001A30DA">
              <w:rPr>
                <w:rFonts w:asciiTheme="majorBidi" w:hAnsiTheme="majorBidi" w:cstheme="majorBidi"/>
                <w:sz w:val="20"/>
              </w:rPr>
              <w:t xml:space="preserve">in Baldacchino, G. and Wivel, A. (eds.) </w:t>
            </w:r>
            <w:r w:rsidRPr="001A30DA">
              <w:rPr>
                <w:rFonts w:asciiTheme="majorBidi" w:hAnsiTheme="majorBidi" w:cstheme="majorBidi"/>
                <w:i/>
                <w:sz w:val="20"/>
              </w:rPr>
              <w:t>Handbook on the politics of small states</w:t>
            </w:r>
            <w:r w:rsidRPr="001A30DA">
              <w:rPr>
                <w:rFonts w:asciiTheme="majorBidi" w:hAnsiTheme="majorBidi" w:cstheme="majorBidi"/>
                <w:sz w:val="20"/>
              </w:rPr>
              <w:t xml:space="preserve">. Cheltenham: Edward Elgar Publishing. DOI: </w:t>
            </w:r>
            <w:hyperlink r:id="rId6">
              <w:r w:rsidRPr="001A30DA">
                <w:rPr>
                  <w:rFonts w:asciiTheme="majorBidi" w:hAnsiTheme="majorBidi" w:cstheme="majorBidi"/>
                  <w:color w:val="1155CC"/>
                  <w:sz w:val="20"/>
                  <w:u w:val="single"/>
                </w:rPr>
                <w:t>https://doi.org/10.4337/9781788112932.00018</w:t>
              </w:r>
            </w:hyperlink>
            <w:r w:rsidRPr="001A30DA">
              <w:rPr>
                <w:rFonts w:asciiTheme="majorBidi" w:hAnsiTheme="majorBidi" w:cstheme="majorBidi"/>
                <w:sz w:val="20"/>
              </w:rPr>
              <w:t>.</w:t>
            </w:r>
          </w:p>
          <w:p w14:paraId="45807533" w14:textId="01AC9416" w:rsidR="00242D91" w:rsidRPr="00242D91" w:rsidRDefault="001A30DA" w:rsidP="00242D91">
            <w:pPr>
              <w:rPr>
                <w:rFonts w:asciiTheme="majorBidi" w:hAnsiTheme="majorBidi" w:cstheme="majorBidi"/>
                <w:color w:val="222222"/>
                <w:sz w:val="20"/>
              </w:rPr>
            </w:pPr>
            <w:r w:rsidRPr="001A30DA">
              <w:rPr>
                <w:rFonts w:asciiTheme="majorBidi" w:hAnsiTheme="majorBidi" w:cstheme="majorBidi"/>
                <w:color w:val="222222"/>
                <w:sz w:val="20"/>
                <w:highlight w:val="white"/>
              </w:rPr>
              <w:t>-</w:t>
            </w:r>
            <w:proofErr w:type="spellStart"/>
            <w:r w:rsidRPr="001A30DA">
              <w:rPr>
                <w:rFonts w:asciiTheme="majorBidi" w:hAnsiTheme="majorBidi" w:cstheme="majorBidi"/>
                <w:color w:val="222222"/>
                <w:sz w:val="20"/>
                <w:highlight w:val="white"/>
              </w:rPr>
              <w:t>Sushentsov</w:t>
            </w:r>
            <w:proofErr w:type="spellEnd"/>
            <w:r w:rsidRPr="001A30DA">
              <w:rPr>
                <w:rFonts w:asciiTheme="majorBidi" w:hAnsiTheme="majorBidi" w:cstheme="majorBidi"/>
                <w:color w:val="222222"/>
                <w:sz w:val="20"/>
                <w:highlight w:val="white"/>
              </w:rPr>
              <w:t xml:space="preserve">, A. A., &amp; Wohlforth, W. C. (2020). The tragedy of US–Russian relations: NATO centrality and the revisionists’ spiral. </w:t>
            </w:r>
            <w:r w:rsidRPr="001A30DA">
              <w:rPr>
                <w:rFonts w:asciiTheme="majorBidi" w:hAnsiTheme="majorBidi" w:cstheme="majorBidi"/>
                <w:i/>
                <w:color w:val="222222"/>
                <w:sz w:val="20"/>
              </w:rPr>
              <w:t>International Politics</w:t>
            </w:r>
            <w:r w:rsidRPr="001A30DA">
              <w:rPr>
                <w:rFonts w:asciiTheme="majorBidi" w:hAnsiTheme="majorBidi" w:cstheme="majorBidi"/>
                <w:color w:val="222222"/>
                <w:sz w:val="20"/>
                <w:highlight w:val="white"/>
              </w:rPr>
              <w:t xml:space="preserve">, </w:t>
            </w:r>
            <w:r w:rsidRPr="001A30DA">
              <w:rPr>
                <w:rFonts w:asciiTheme="majorBidi" w:hAnsiTheme="majorBidi" w:cstheme="majorBidi"/>
                <w:i/>
                <w:color w:val="222222"/>
                <w:sz w:val="20"/>
              </w:rPr>
              <w:t>57</w:t>
            </w:r>
            <w:r w:rsidRPr="001A30DA">
              <w:rPr>
                <w:rFonts w:asciiTheme="majorBidi" w:hAnsiTheme="majorBidi" w:cstheme="majorBidi"/>
                <w:color w:val="222222"/>
                <w:sz w:val="20"/>
                <w:highlight w:val="white"/>
              </w:rPr>
              <w:t>, 427-450.</w:t>
            </w:r>
          </w:p>
        </w:tc>
      </w:tr>
      <w:tr w:rsidR="001A30DA" w:rsidRPr="009B0EA7" w14:paraId="1C4921FD" w14:textId="77777777" w:rsidTr="001A30DA">
        <w:trPr>
          <w:trHeight w:val="134"/>
        </w:trPr>
        <w:tc>
          <w:tcPr>
            <w:tcW w:w="2120" w:type="dxa"/>
          </w:tcPr>
          <w:p w14:paraId="30E7BA87" w14:textId="0E8DA3D1" w:rsidR="001A30DA" w:rsidRPr="001A30DA" w:rsidRDefault="001A30DA" w:rsidP="001A30DA">
            <w:pPr>
              <w:jc w:val="center"/>
              <w:rPr>
                <w:rFonts w:asciiTheme="majorBidi" w:hAnsiTheme="majorBidi" w:cstheme="majorBidi"/>
                <w:b/>
                <w:sz w:val="20"/>
              </w:rPr>
            </w:pPr>
            <w:r w:rsidRPr="001A30DA">
              <w:rPr>
                <w:rFonts w:asciiTheme="majorBidi" w:hAnsiTheme="majorBidi" w:cstheme="majorBidi"/>
                <w:b/>
                <w:sz w:val="20"/>
                <w:lang w:val="el-GR"/>
              </w:rPr>
              <w:t>6</w:t>
            </w:r>
            <w:proofErr w:type="spellStart"/>
            <w:r w:rsidRPr="001A30DA">
              <w:rPr>
                <w:rFonts w:asciiTheme="majorBidi" w:hAnsiTheme="majorBidi" w:cstheme="majorBidi"/>
                <w:b/>
                <w:sz w:val="20"/>
                <w:vertAlign w:val="superscript"/>
              </w:rPr>
              <w:t>th</w:t>
            </w:r>
            <w:proofErr w:type="spellEnd"/>
            <w:r w:rsidRPr="001A30DA">
              <w:rPr>
                <w:rFonts w:asciiTheme="majorBidi" w:hAnsiTheme="majorBidi" w:cstheme="majorBidi"/>
                <w:b/>
                <w:sz w:val="20"/>
                <w:vertAlign w:val="superscript"/>
              </w:rPr>
              <w:t xml:space="preserve"> </w:t>
            </w:r>
            <w:r w:rsidRPr="001A30DA">
              <w:rPr>
                <w:rFonts w:asciiTheme="majorBidi" w:hAnsiTheme="majorBidi" w:cstheme="majorBidi"/>
                <w:b/>
                <w:sz w:val="20"/>
              </w:rPr>
              <w:t>week</w:t>
            </w:r>
          </w:p>
        </w:tc>
        <w:tc>
          <w:tcPr>
            <w:tcW w:w="6776" w:type="dxa"/>
            <w:gridSpan w:val="3"/>
            <w:vAlign w:val="center"/>
          </w:tcPr>
          <w:p w14:paraId="6AD240F8" w14:textId="77777777" w:rsidR="001A30DA" w:rsidRPr="001A30DA" w:rsidRDefault="001A30DA" w:rsidP="001A30DA">
            <w:pPr>
              <w:rPr>
                <w:rFonts w:asciiTheme="majorBidi" w:hAnsiTheme="majorBidi" w:cstheme="majorBidi"/>
                <w:b/>
                <w:sz w:val="20"/>
              </w:rPr>
            </w:pPr>
            <w:r w:rsidRPr="001A30DA">
              <w:rPr>
                <w:rFonts w:asciiTheme="majorBidi" w:hAnsiTheme="majorBidi" w:cstheme="majorBidi"/>
                <w:b/>
                <w:sz w:val="20"/>
              </w:rPr>
              <w:t xml:space="preserve">Russia and Eastern Europe </w:t>
            </w:r>
          </w:p>
          <w:p w14:paraId="44EB91E7" w14:textId="31D9D8A1" w:rsidR="001A30DA" w:rsidRPr="001A30DA" w:rsidRDefault="001A30DA" w:rsidP="001A30DA">
            <w:pPr>
              <w:rPr>
                <w:rFonts w:asciiTheme="majorBidi" w:hAnsiTheme="majorBidi" w:cstheme="majorBidi"/>
                <w:sz w:val="20"/>
              </w:rPr>
            </w:pPr>
            <w:r w:rsidRPr="001A30DA">
              <w:rPr>
                <w:rFonts w:asciiTheme="majorBidi" w:hAnsiTheme="majorBidi" w:cstheme="majorBidi"/>
                <w:sz w:val="20"/>
              </w:rPr>
              <w:t>Invited lecture: An exploration of Russia's relationships with Eastern European countries in the post-Cold War era. Analysis of the historical, geopolitical, and cultural factors that influence these relations. Discussion of regional dynamics, security concerns, and the role of Western powers in the region</w:t>
            </w:r>
          </w:p>
        </w:tc>
      </w:tr>
      <w:tr w:rsidR="001A30DA" w:rsidRPr="00D8712C" w14:paraId="7230EBE2" w14:textId="77777777" w:rsidTr="001A30DA">
        <w:trPr>
          <w:trHeight w:val="134"/>
        </w:trPr>
        <w:tc>
          <w:tcPr>
            <w:tcW w:w="2120" w:type="dxa"/>
          </w:tcPr>
          <w:p w14:paraId="3CA99CEF" w14:textId="118FDDDB" w:rsidR="001A30DA" w:rsidRPr="001A30DA" w:rsidRDefault="001A30DA" w:rsidP="001A30DA">
            <w:pPr>
              <w:jc w:val="center"/>
              <w:rPr>
                <w:rFonts w:asciiTheme="majorBidi" w:hAnsiTheme="majorBidi" w:cstheme="majorBidi"/>
                <w:b/>
                <w:sz w:val="20"/>
                <w:lang w:val="el-GR"/>
              </w:rPr>
            </w:pPr>
            <w:r w:rsidRPr="001A30DA">
              <w:rPr>
                <w:rFonts w:asciiTheme="majorBidi" w:hAnsiTheme="majorBidi" w:cstheme="majorBidi"/>
                <w:b/>
                <w:sz w:val="20"/>
              </w:rPr>
              <w:lastRenderedPageBreak/>
              <w:t>7</w:t>
            </w:r>
            <w:r w:rsidRPr="001A30DA">
              <w:rPr>
                <w:rFonts w:asciiTheme="majorBidi" w:hAnsiTheme="majorBidi" w:cstheme="majorBidi"/>
                <w:b/>
                <w:sz w:val="20"/>
                <w:vertAlign w:val="superscript"/>
              </w:rPr>
              <w:t xml:space="preserve">th </w:t>
            </w:r>
            <w:r w:rsidRPr="001A30DA">
              <w:rPr>
                <w:rFonts w:asciiTheme="majorBidi" w:hAnsiTheme="majorBidi" w:cstheme="majorBidi"/>
                <w:b/>
                <w:sz w:val="20"/>
              </w:rPr>
              <w:t>week</w:t>
            </w:r>
          </w:p>
        </w:tc>
        <w:tc>
          <w:tcPr>
            <w:tcW w:w="6776" w:type="dxa"/>
            <w:gridSpan w:val="3"/>
            <w:vAlign w:val="center"/>
          </w:tcPr>
          <w:p w14:paraId="573ECB30" w14:textId="77777777" w:rsidR="001A30DA" w:rsidRPr="001A30DA" w:rsidRDefault="001A30DA" w:rsidP="001A30DA">
            <w:pPr>
              <w:rPr>
                <w:rFonts w:asciiTheme="majorBidi" w:hAnsiTheme="majorBidi" w:cstheme="majorBidi"/>
                <w:b/>
                <w:sz w:val="20"/>
              </w:rPr>
            </w:pPr>
            <w:r w:rsidRPr="001A30DA">
              <w:rPr>
                <w:rFonts w:asciiTheme="majorBidi" w:hAnsiTheme="majorBidi" w:cstheme="majorBidi"/>
                <w:b/>
                <w:sz w:val="20"/>
              </w:rPr>
              <w:t>Russia and the MENA – The War in Syria and Moscow’s comeback to the Middle East</w:t>
            </w:r>
          </w:p>
          <w:p w14:paraId="1F05C5DC" w14:textId="77777777" w:rsidR="001A30DA" w:rsidRPr="001A30DA" w:rsidRDefault="001A30DA" w:rsidP="001A30DA">
            <w:pPr>
              <w:rPr>
                <w:rFonts w:asciiTheme="majorBidi" w:hAnsiTheme="majorBidi" w:cstheme="majorBidi"/>
                <w:bCs/>
                <w:sz w:val="20"/>
              </w:rPr>
            </w:pPr>
            <w:r w:rsidRPr="001A30DA">
              <w:rPr>
                <w:rFonts w:asciiTheme="majorBidi" w:hAnsiTheme="majorBidi" w:cstheme="majorBidi"/>
                <w:bCs/>
                <w:sz w:val="20"/>
              </w:rPr>
              <w:t>Historical background of Russia’s Middle Eastern policies from the Soviet era to the 21</w:t>
            </w:r>
            <w:r w:rsidRPr="001A30DA">
              <w:rPr>
                <w:rFonts w:asciiTheme="majorBidi" w:hAnsiTheme="majorBidi" w:cstheme="majorBidi"/>
                <w:bCs/>
                <w:sz w:val="20"/>
                <w:vertAlign w:val="superscript"/>
              </w:rPr>
              <w:t>st</w:t>
            </w:r>
            <w:r w:rsidRPr="001A30DA">
              <w:rPr>
                <w:rFonts w:asciiTheme="majorBidi" w:hAnsiTheme="majorBidi" w:cstheme="majorBidi"/>
                <w:bCs/>
                <w:sz w:val="20"/>
              </w:rPr>
              <w:t xml:space="preserve"> century. The Russian intervention in Syria as a milestone in Moscow’s dynamic comeback in Middle Eastern international relations.  </w:t>
            </w:r>
          </w:p>
          <w:p w14:paraId="3B843F18" w14:textId="77777777" w:rsidR="001A30DA" w:rsidRPr="001A30DA" w:rsidRDefault="001A30DA" w:rsidP="001A30DA">
            <w:pPr>
              <w:rPr>
                <w:rFonts w:asciiTheme="majorBidi" w:hAnsiTheme="majorBidi" w:cstheme="majorBidi"/>
                <w:bCs/>
                <w:sz w:val="20"/>
              </w:rPr>
            </w:pPr>
          </w:p>
          <w:p w14:paraId="5B756212" w14:textId="77777777" w:rsidR="001A30DA" w:rsidRPr="001A30DA" w:rsidRDefault="001A30DA" w:rsidP="001A30DA">
            <w:pPr>
              <w:rPr>
                <w:rFonts w:asciiTheme="majorBidi" w:hAnsiTheme="majorBidi" w:cstheme="majorBidi"/>
                <w:bCs/>
                <w:sz w:val="20"/>
              </w:rPr>
            </w:pPr>
            <w:r w:rsidRPr="001A30DA">
              <w:rPr>
                <w:rFonts w:asciiTheme="majorBidi" w:hAnsiTheme="majorBidi" w:cstheme="majorBidi"/>
                <w:bCs/>
                <w:sz w:val="20"/>
              </w:rPr>
              <w:t>-Kozhanov, N. (ed.), (2022) Russian Foreign Policy Towards the Middle East: New Trends, Old Traditions, Oxford University Press.</w:t>
            </w:r>
          </w:p>
          <w:p w14:paraId="41402B06" w14:textId="77777777" w:rsidR="001A30DA" w:rsidRPr="001A30DA" w:rsidRDefault="001A30DA" w:rsidP="001A30DA">
            <w:pPr>
              <w:rPr>
                <w:rFonts w:asciiTheme="majorBidi" w:hAnsiTheme="majorBidi" w:cstheme="majorBidi"/>
                <w:bCs/>
                <w:sz w:val="20"/>
              </w:rPr>
            </w:pPr>
            <w:r w:rsidRPr="001A30DA">
              <w:rPr>
                <w:rFonts w:asciiTheme="majorBidi" w:hAnsiTheme="majorBidi" w:cstheme="majorBidi"/>
                <w:bCs/>
                <w:sz w:val="20"/>
              </w:rPr>
              <w:t xml:space="preserve">-Wehrey F, Weiss, A. (2021), Reassessing Russian Capabilities in the Levant and North Africa, </w:t>
            </w:r>
            <w:r w:rsidRPr="001A30DA">
              <w:rPr>
                <w:rFonts w:asciiTheme="majorBidi" w:hAnsiTheme="majorBidi" w:cstheme="majorBidi"/>
                <w:bCs/>
                <w:i/>
                <w:iCs/>
                <w:sz w:val="20"/>
              </w:rPr>
              <w:t>Carnegie Endowment for International Peace</w:t>
            </w:r>
            <w:r w:rsidRPr="001A30DA">
              <w:rPr>
                <w:rFonts w:asciiTheme="majorBidi" w:hAnsiTheme="majorBidi" w:cstheme="majorBidi"/>
                <w:bCs/>
                <w:sz w:val="20"/>
              </w:rPr>
              <w:t xml:space="preserve">. </w:t>
            </w:r>
          </w:p>
          <w:p w14:paraId="51F6553D" w14:textId="6072DECA" w:rsidR="001A30DA" w:rsidRPr="001A30DA" w:rsidRDefault="001A30DA" w:rsidP="001A30DA">
            <w:pPr>
              <w:rPr>
                <w:rFonts w:asciiTheme="majorBidi" w:hAnsiTheme="majorBidi" w:cstheme="majorBidi"/>
                <w:bCs/>
                <w:sz w:val="20"/>
              </w:rPr>
            </w:pPr>
            <w:r w:rsidRPr="001A30DA">
              <w:rPr>
                <w:rFonts w:asciiTheme="majorBidi" w:hAnsiTheme="majorBidi" w:cstheme="majorBidi"/>
                <w:bCs/>
                <w:sz w:val="20"/>
              </w:rPr>
              <w:t xml:space="preserve">-Phillips, C. (2022). The international system and the Syrian civil war. </w:t>
            </w:r>
            <w:r w:rsidRPr="001A30DA">
              <w:rPr>
                <w:rFonts w:asciiTheme="majorBidi" w:hAnsiTheme="majorBidi" w:cstheme="majorBidi"/>
                <w:bCs/>
                <w:i/>
                <w:iCs/>
                <w:sz w:val="20"/>
              </w:rPr>
              <w:t>International Relations</w:t>
            </w:r>
            <w:r w:rsidRPr="001A30DA">
              <w:rPr>
                <w:rFonts w:asciiTheme="majorBidi" w:hAnsiTheme="majorBidi" w:cstheme="majorBidi"/>
                <w:bCs/>
                <w:sz w:val="20"/>
              </w:rPr>
              <w:t>, 36(3), 358-381.</w:t>
            </w:r>
          </w:p>
        </w:tc>
      </w:tr>
      <w:tr w:rsidR="001A30DA" w:rsidRPr="00D8712C" w14:paraId="43A53938" w14:textId="77777777" w:rsidTr="001A30DA">
        <w:trPr>
          <w:trHeight w:val="134"/>
        </w:trPr>
        <w:tc>
          <w:tcPr>
            <w:tcW w:w="2120" w:type="dxa"/>
          </w:tcPr>
          <w:p w14:paraId="59D63E6D" w14:textId="64B8D3C4" w:rsidR="001A30DA" w:rsidRPr="001A30DA" w:rsidRDefault="001A30DA" w:rsidP="001A30DA">
            <w:pPr>
              <w:jc w:val="center"/>
              <w:rPr>
                <w:rFonts w:asciiTheme="majorBidi" w:hAnsiTheme="majorBidi" w:cstheme="majorBidi"/>
                <w:b/>
                <w:sz w:val="20"/>
                <w:lang w:val="el-GR"/>
              </w:rPr>
            </w:pPr>
            <w:r w:rsidRPr="001A30DA">
              <w:rPr>
                <w:rFonts w:asciiTheme="majorBidi" w:hAnsiTheme="majorBidi" w:cstheme="majorBidi"/>
                <w:b/>
                <w:sz w:val="20"/>
              </w:rPr>
              <w:t>8</w:t>
            </w:r>
            <w:r w:rsidRPr="001A30DA">
              <w:rPr>
                <w:rFonts w:asciiTheme="majorBidi" w:hAnsiTheme="majorBidi" w:cstheme="majorBidi"/>
                <w:b/>
                <w:sz w:val="20"/>
                <w:vertAlign w:val="superscript"/>
              </w:rPr>
              <w:t xml:space="preserve">th </w:t>
            </w:r>
            <w:r w:rsidRPr="001A30DA">
              <w:rPr>
                <w:rFonts w:asciiTheme="majorBidi" w:hAnsiTheme="majorBidi" w:cstheme="majorBidi"/>
                <w:b/>
                <w:sz w:val="20"/>
              </w:rPr>
              <w:t>week</w:t>
            </w:r>
          </w:p>
        </w:tc>
        <w:tc>
          <w:tcPr>
            <w:tcW w:w="6776" w:type="dxa"/>
            <w:gridSpan w:val="3"/>
            <w:vAlign w:val="center"/>
          </w:tcPr>
          <w:p w14:paraId="21A0ED02" w14:textId="77777777" w:rsidR="001A30DA" w:rsidRPr="001A30DA" w:rsidRDefault="001A30DA" w:rsidP="001A30DA">
            <w:pPr>
              <w:rPr>
                <w:rFonts w:asciiTheme="majorBidi" w:hAnsiTheme="majorBidi" w:cstheme="majorBidi"/>
                <w:b/>
                <w:sz w:val="20"/>
              </w:rPr>
            </w:pPr>
            <w:r w:rsidRPr="001A30DA">
              <w:rPr>
                <w:rFonts w:asciiTheme="majorBidi" w:hAnsiTheme="majorBidi" w:cstheme="majorBidi"/>
                <w:b/>
                <w:sz w:val="20"/>
              </w:rPr>
              <w:t>Russia in the MENA – Moscow’s involvement in the Libyan civil war</w:t>
            </w:r>
          </w:p>
          <w:p w14:paraId="35B1214C" w14:textId="77777777" w:rsidR="001A30DA" w:rsidRPr="001A30DA" w:rsidRDefault="001A30DA" w:rsidP="001A30DA">
            <w:pPr>
              <w:rPr>
                <w:rFonts w:asciiTheme="majorBidi" w:hAnsiTheme="majorBidi" w:cstheme="majorBidi"/>
                <w:bCs/>
                <w:sz w:val="20"/>
              </w:rPr>
            </w:pPr>
            <w:r w:rsidRPr="001A30DA">
              <w:rPr>
                <w:rFonts w:asciiTheme="majorBidi" w:hAnsiTheme="majorBidi" w:cstheme="majorBidi"/>
                <w:bCs/>
                <w:sz w:val="20"/>
              </w:rPr>
              <w:t xml:space="preserve">Russia’s relations with state and non-state actors throughout the MENA. Moscow’s involvement in the Libyan war. Interests, </w:t>
            </w:r>
            <w:proofErr w:type="gramStart"/>
            <w:r w:rsidRPr="001A30DA">
              <w:rPr>
                <w:rFonts w:asciiTheme="majorBidi" w:hAnsiTheme="majorBidi" w:cstheme="majorBidi"/>
                <w:bCs/>
                <w:sz w:val="20"/>
              </w:rPr>
              <w:t>prospects</w:t>
            </w:r>
            <w:proofErr w:type="gramEnd"/>
            <w:r w:rsidRPr="001A30DA">
              <w:rPr>
                <w:rFonts w:asciiTheme="majorBidi" w:hAnsiTheme="majorBidi" w:cstheme="majorBidi"/>
                <w:bCs/>
                <w:sz w:val="20"/>
              </w:rPr>
              <w:t xml:space="preserve"> and challenges.  </w:t>
            </w:r>
          </w:p>
          <w:p w14:paraId="67572398" w14:textId="77777777" w:rsidR="001A30DA" w:rsidRPr="001A30DA" w:rsidRDefault="001A30DA" w:rsidP="001A30DA">
            <w:pPr>
              <w:rPr>
                <w:rFonts w:asciiTheme="majorBidi" w:hAnsiTheme="majorBidi" w:cstheme="majorBidi"/>
                <w:bCs/>
                <w:sz w:val="20"/>
              </w:rPr>
            </w:pPr>
          </w:p>
          <w:p w14:paraId="14FD66E6" w14:textId="77777777" w:rsidR="001A30DA" w:rsidRPr="001A30DA" w:rsidRDefault="001A30DA" w:rsidP="001A30DA">
            <w:pPr>
              <w:rPr>
                <w:rFonts w:asciiTheme="majorBidi" w:hAnsiTheme="majorBidi" w:cstheme="majorBidi"/>
                <w:bCs/>
                <w:sz w:val="20"/>
              </w:rPr>
            </w:pPr>
            <w:r w:rsidRPr="001A30DA">
              <w:rPr>
                <w:rFonts w:asciiTheme="majorBidi" w:hAnsiTheme="majorBidi" w:cstheme="majorBidi"/>
                <w:bCs/>
                <w:sz w:val="20"/>
              </w:rPr>
              <w:t xml:space="preserve">- </w:t>
            </w:r>
            <w:proofErr w:type="spellStart"/>
            <w:r w:rsidRPr="001A30DA">
              <w:rPr>
                <w:rFonts w:asciiTheme="majorBidi" w:hAnsiTheme="majorBidi" w:cstheme="majorBidi"/>
                <w:bCs/>
                <w:sz w:val="20"/>
              </w:rPr>
              <w:t>Wherey</w:t>
            </w:r>
            <w:proofErr w:type="spellEnd"/>
            <w:r w:rsidRPr="001A30DA">
              <w:rPr>
                <w:rFonts w:asciiTheme="majorBidi" w:hAnsiTheme="majorBidi" w:cstheme="majorBidi"/>
                <w:bCs/>
                <w:sz w:val="20"/>
              </w:rPr>
              <w:t>, F., (2018) The Burning Shores: Inside the Battle for the New Libya, Farrar, Straus &amp; Giroux.</w:t>
            </w:r>
          </w:p>
          <w:p w14:paraId="0B25C939" w14:textId="2BC5DB17" w:rsidR="001A30DA" w:rsidRPr="001A30DA" w:rsidRDefault="001A30DA" w:rsidP="001A30DA">
            <w:pPr>
              <w:rPr>
                <w:rFonts w:asciiTheme="majorBidi" w:hAnsiTheme="majorBidi" w:cstheme="majorBidi"/>
                <w:bCs/>
                <w:sz w:val="20"/>
              </w:rPr>
            </w:pPr>
            <w:r w:rsidRPr="001A30DA">
              <w:rPr>
                <w:rFonts w:asciiTheme="majorBidi" w:hAnsiTheme="majorBidi" w:cstheme="majorBidi"/>
                <w:bCs/>
                <w:sz w:val="20"/>
              </w:rPr>
              <w:t>-</w:t>
            </w:r>
            <w:proofErr w:type="spellStart"/>
            <w:r w:rsidRPr="001A30DA">
              <w:rPr>
                <w:rFonts w:asciiTheme="majorBidi" w:hAnsiTheme="majorBidi" w:cstheme="majorBidi"/>
                <w:bCs/>
                <w:sz w:val="20"/>
              </w:rPr>
              <w:t>Ishetiar</w:t>
            </w:r>
            <w:proofErr w:type="spellEnd"/>
            <w:r w:rsidRPr="001A30DA">
              <w:rPr>
                <w:rFonts w:asciiTheme="majorBidi" w:hAnsiTheme="majorBidi" w:cstheme="majorBidi"/>
                <w:bCs/>
                <w:sz w:val="20"/>
              </w:rPr>
              <w:t xml:space="preserve"> S., (2019) “Echoes of Abstention: Russian Policy in Libya and Implications for Regional Stability,” </w:t>
            </w:r>
            <w:r w:rsidRPr="001A30DA">
              <w:rPr>
                <w:rFonts w:asciiTheme="majorBidi" w:hAnsiTheme="majorBidi" w:cstheme="majorBidi"/>
                <w:bCs/>
                <w:i/>
                <w:iCs/>
                <w:sz w:val="20"/>
              </w:rPr>
              <w:t>Journal of Public and International Affairs</w:t>
            </w:r>
            <w:r w:rsidRPr="001A30DA">
              <w:rPr>
                <w:rFonts w:asciiTheme="majorBidi" w:hAnsiTheme="majorBidi" w:cstheme="majorBidi"/>
                <w:bCs/>
                <w:sz w:val="20"/>
              </w:rPr>
              <w:t>.</w:t>
            </w:r>
          </w:p>
        </w:tc>
      </w:tr>
      <w:tr w:rsidR="001A30DA" w:rsidRPr="007D6669" w14:paraId="21FB988D" w14:textId="77777777" w:rsidTr="001A30DA">
        <w:trPr>
          <w:trHeight w:val="134"/>
        </w:trPr>
        <w:tc>
          <w:tcPr>
            <w:tcW w:w="2120" w:type="dxa"/>
          </w:tcPr>
          <w:p w14:paraId="3490E4F3" w14:textId="014EB40C" w:rsidR="001A30DA" w:rsidRPr="001A30DA" w:rsidRDefault="001A30DA" w:rsidP="001A30DA">
            <w:pPr>
              <w:jc w:val="center"/>
              <w:rPr>
                <w:rFonts w:asciiTheme="majorBidi" w:hAnsiTheme="majorBidi" w:cstheme="majorBidi"/>
                <w:b/>
                <w:sz w:val="20"/>
                <w:lang w:val="el-GR"/>
              </w:rPr>
            </w:pPr>
            <w:r w:rsidRPr="001A30DA">
              <w:rPr>
                <w:rFonts w:asciiTheme="majorBidi" w:hAnsiTheme="majorBidi" w:cstheme="majorBidi"/>
                <w:b/>
                <w:sz w:val="20"/>
                <w:lang w:val="el-GR"/>
              </w:rPr>
              <w:t>9</w:t>
            </w:r>
            <w:proofErr w:type="spellStart"/>
            <w:r w:rsidRPr="001A30DA">
              <w:rPr>
                <w:rFonts w:asciiTheme="majorBidi" w:hAnsiTheme="majorBidi" w:cstheme="majorBidi"/>
                <w:b/>
                <w:sz w:val="20"/>
                <w:vertAlign w:val="superscript"/>
              </w:rPr>
              <w:t>th</w:t>
            </w:r>
            <w:proofErr w:type="spellEnd"/>
            <w:r w:rsidRPr="001A30DA">
              <w:rPr>
                <w:rFonts w:asciiTheme="majorBidi" w:hAnsiTheme="majorBidi" w:cstheme="majorBidi"/>
                <w:b/>
                <w:sz w:val="20"/>
                <w:vertAlign w:val="superscript"/>
                <w:lang w:val="el-GR"/>
              </w:rPr>
              <w:t xml:space="preserve"> </w:t>
            </w:r>
            <w:r w:rsidRPr="001A30DA">
              <w:rPr>
                <w:rFonts w:asciiTheme="majorBidi" w:hAnsiTheme="majorBidi" w:cstheme="majorBidi"/>
                <w:b/>
                <w:sz w:val="20"/>
              </w:rPr>
              <w:t>week</w:t>
            </w:r>
          </w:p>
        </w:tc>
        <w:tc>
          <w:tcPr>
            <w:tcW w:w="6776" w:type="dxa"/>
            <w:gridSpan w:val="3"/>
            <w:vAlign w:val="center"/>
          </w:tcPr>
          <w:p w14:paraId="435DCF01" w14:textId="77777777" w:rsidR="001A30DA" w:rsidRPr="001A30DA" w:rsidRDefault="001A30DA" w:rsidP="001A30DA">
            <w:pPr>
              <w:rPr>
                <w:rFonts w:asciiTheme="majorBidi" w:hAnsiTheme="majorBidi" w:cstheme="majorBidi"/>
                <w:b/>
                <w:sz w:val="20"/>
              </w:rPr>
            </w:pPr>
            <w:r w:rsidRPr="001A30DA">
              <w:rPr>
                <w:rFonts w:asciiTheme="majorBidi" w:hAnsiTheme="majorBidi" w:cstheme="majorBidi"/>
                <w:b/>
                <w:sz w:val="20"/>
              </w:rPr>
              <w:t>Russia in Africa – Reliable partner or disruptor of the regional order?</w:t>
            </w:r>
          </w:p>
          <w:p w14:paraId="00DB3E5F" w14:textId="77777777" w:rsidR="001A30DA" w:rsidRPr="001A30DA" w:rsidRDefault="001A30DA" w:rsidP="001A30DA">
            <w:pPr>
              <w:rPr>
                <w:rFonts w:asciiTheme="majorBidi" w:hAnsiTheme="majorBidi" w:cstheme="majorBidi"/>
                <w:bCs/>
                <w:sz w:val="20"/>
              </w:rPr>
            </w:pPr>
            <w:r w:rsidRPr="001A30DA">
              <w:rPr>
                <w:rFonts w:asciiTheme="majorBidi" w:hAnsiTheme="majorBidi" w:cstheme="majorBidi"/>
                <w:bCs/>
                <w:sz w:val="20"/>
              </w:rPr>
              <w:t xml:space="preserve">Russia’s web of relations with governments and non-state actors in the Sahel and Sub-Saharan Africa.  </w:t>
            </w:r>
          </w:p>
          <w:p w14:paraId="75F47BC1" w14:textId="77777777" w:rsidR="001A30DA" w:rsidRPr="001A30DA" w:rsidRDefault="001A30DA" w:rsidP="001A30DA">
            <w:pPr>
              <w:rPr>
                <w:rFonts w:asciiTheme="majorBidi" w:hAnsiTheme="majorBidi" w:cstheme="majorBidi"/>
                <w:bCs/>
                <w:sz w:val="20"/>
              </w:rPr>
            </w:pPr>
          </w:p>
          <w:p w14:paraId="3F3C92A0" w14:textId="77777777" w:rsidR="001A30DA" w:rsidRPr="001A30DA" w:rsidRDefault="001A30DA" w:rsidP="001A30DA">
            <w:pPr>
              <w:rPr>
                <w:rFonts w:asciiTheme="majorBidi" w:hAnsiTheme="majorBidi" w:cstheme="majorBidi"/>
                <w:bCs/>
                <w:sz w:val="20"/>
              </w:rPr>
            </w:pPr>
            <w:r w:rsidRPr="001A30DA">
              <w:rPr>
                <w:rFonts w:asciiTheme="majorBidi" w:hAnsiTheme="majorBidi" w:cstheme="majorBidi"/>
                <w:bCs/>
                <w:sz w:val="20"/>
              </w:rPr>
              <w:t>-</w:t>
            </w:r>
            <w:proofErr w:type="spellStart"/>
            <w:r w:rsidRPr="001A30DA">
              <w:rPr>
                <w:rFonts w:asciiTheme="majorBidi" w:hAnsiTheme="majorBidi" w:cstheme="majorBidi"/>
                <w:bCs/>
                <w:sz w:val="20"/>
              </w:rPr>
              <w:t>Duursma</w:t>
            </w:r>
            <w:proofErr w:type="spellEnd"/>
            <w:r w:rsidRPr="001A30DA">
              <w:rPr>
                <w:rFonts w:asciiTheme="majorBidi" w:hAnsiTheme="majorBidi" w:cstheme="majorBidi"/>
                <w:bCs/>
                <w:sz w:val="20"/>
              </w:rPr>
              <w:t xml:space="preserve"> A.&amp; </w:t>
            </w:r>
            <w:proofErr w:type="spellStart"/>
            <w:r w:rsidRPr="001A30DA">
              <w:rPr>
                <w:rFonts w:asciiTheme="majorBidi" w:hAnsiTheme="majorBidi" w:cstheme="majorBidi"/>
                <w:bCs/>
                <w:sz w:val="20"/>
              </w:rPr>
              <w:t>Masuhr</w:t>
            </w:r>
            <w:proofErr w:type="spellEnd"/>
            <w:r w:rsidRPr="001A30DA">
              <w:rPr>
                <w:rFonts w:asciiTheme="majorBidi" w:hAnsiTheme="majorBidi" w:cstheme="majorBidi"/>
                <w:bCs/>
                <w:sz w:val="20"/>
              </w:rPr>
              <w:t xml:space="preserve"> N. (2022) Russia’s return to Africa in a historical and global context: Anti-imperialism, patronage, and opportunism, </w:t>
            </w:r>
            <w:r w:rsidRPr="001A30DA">
              <w:rPr>
                <w:rFonts w:asciiTheme="majorBidi" w:hAnsiTheme="majorBidi" w:cstheme="majorBidi"/>
                <w:bCs/>
                <w:i/>
                <w:iCs/>
                <w:sz w:val="20"/>
              </w:rPr>
              <w:t>South African Journal of International Affairs</w:t>
            </w:r>
            <w:r w:rsidRPr="001A30DA">
              <w:rPr>
                <w:rFonts w:asciiTheme="majorBidi" w:hAnsiTheme="majorBidi" w:cstheme="majorBidi"/>
                <w:bCs/>
                <w:sz w:val="20"/>
              </w:rPr>
              <w:t>, 29:4</w:t>
            </w:r>
          </w:p>
          <w:p w14:paraId="35ABFC52" w14:textId="11D1DEB7" w:rsidR="001A30DA" w:rsidRPr="001A30DA" w:rsidRDefault="001A30DA" w:rsidP="001A30DA">
            <w:pPr>
              <w:rPr>
                <w:rFonts w:asciiTheme="majorBidi" w:hAnsiTheme="majorBidi" w:cstheme="majorBidi"/>
                <w:sz w:val="20"/>
                <w:lang w:eastAsia="el-GR"/>
              </w:rPr>
            </w:pPr>
            <w:r w:rsidRPr="001A30DA">
              <w:rPr>
                <w:rFonts w:asciiTheme="majorBidi" w:hAnsiTheme="majorBidi" w:cstheme="majorBidi"/>
                <w:bCs/>
                <w:sz w:val="20"/>
              </w:rPr>
              <w:t>-Stronski P., (2023) Russia’s Growing Footprint in Africa’s Sahel Region, Carnegie Endowment for International Peace</w:t>
            </w:r>
          </w:p>
        </w:tc>
      </w:tr>
      <w:tr w:rsidR="001A30DA" w:rsidRPr="00107416" w14:paraId="772FF34A" w14:textId="77777777" w:rsidTr="001A30DA">
        <w:trPr>
          <w:trHeight w:val="965"/>
        </w:trPr>
        <w:tc>
          <w:tcPr>
            <w:tcW w:w="2120" w:type="dxa"/>
          </w:tcPr>
          <w:p w14:paraId="4C182CFE" w14:textId="018451B8" w:rsidR="001A30DA" w:rsidRPr="001A30DA" w:rsidRDefault="001A30DA" w:rsidP="001A30DA">
            <w:pPr>
              <w:jc w:val="center"/>
              <w:rPr>
                <w:rFonts w:asciiTheme="majorBidi" w:hAnsiTheme="majorBidi" w:cstheme="majorBidi"/>
                <w:b/>
                <w:sz w:val="20"/>
                <w:lang w:val="el-GR"/>
              </w:rPr>
            </w:pPr>
            <w:r w:rsidRPr="001A30DA">
              <w:rPr>
                <w:rFonts w:asciiTheme="majorBidi" w:hAnsiTheme="majorBidi" w:cstheme="majorBidi"/>
                <w:b/>
                <w:sz w:val="20"/>
              </w:rPr>
              <w:t>10</w:t>
            </w:r>
            <w:r w:rsidRPr="001A30DA">
              <w:rPr>
                <w:rFonts w:asciiTheme="majorBidi" w:hAnsiTheme="majorBidi" w:cstheme="majorBidi"/>
                <w:b/>
                <w:sz w:val="20"/>
                <w:vertAlign w:val="superscript"/>
              </w:rPr>
              <w:t xml:space="preserve">th </w:t>
            </w:r>
            <w:r w:rsidRPr="001A30DA">
              <w:rPr>
                <w:rFonts w:asciiTheme="majorBidi" w:hAnsiTheme="majorBidi" w:cstheme="majorBidi"/>
                <w:b/>
                <w:sz w:val="20"/>
              </w:rPr>
              <w:t>week</w:t>
            </w:r>
          </w:p>
        </w:tc>
        <w:tc>
          <w:tcPr>
            <w:tcW w:w="6776" w:type="dxa"/>
            <w:gridSpan w:val="3"/>
            <w:vAlign w:val="center"/>
          </w:tcPr>
          <w:p w14:paraId="41A1500B" w14:textId="77777777" w:rsidR="001A30DA" w:rsidRPr="001A30DA" w:rsidRDefault="001A30DA" w:rsidP="001A30DA">
            <w:pPr>
              <w:rPr>
                <w:rFonts w:asciiTheme="majorBidi" w:hAnsiTheme="majorBidi" w:cstheme="majorBidi"/>
                <w:b/>
                <w:sz w:val="20"/>
              </w:rPr>
            </w:pPr>
            <w:r w:rsidRPr="001A30DA">
              <w:rPr>
                <w:rFonts w:asciiTheme="majorBidi" w:hAnsiTheme="majorBidi" w:cstheme="majorBidi"/>
                <w:b/>
                <w:sz w:val="20"/>
              </w:rPr>
              <w:t>Russia as a Global Energy Power</w:t>
            </w:r>
          </w:p>
          <w:p w14:paraId="64887F33" w14:textId="77777777" w:rsidR="001A30DA" w:rsidRPr="001A30DA" w:rsidRDefault="001A30DA" w:rsidP="001A30DA">
            <w:pPr>
              <w:rPr>
                <w:rFonts w:asciiTheme="majorBidi" w:hAnsiTheme="majorBidi" w:cstheme="majorBidi"/>
                <w:bCs/>
                <w:sz w:val="20"/>
              </w:rPr>
            </w:pPr>
            <w:r w:rsidRPr="001A30DA">
              <w:rPr>
                <w:rFonts w:asciiTheme="majorBidi" w:hAnsiTheme="majorBidi" w:cstheme="majorBidi"/>
                <w:bCs/>
                <w:sz w:val="20"/>
              </w:rPr>
              <w:t xml:space="preserve">An overview of Russia’s energy map: resources, energy networks and market position. Hydrocarbons and nuclear energy. The transforming energy relationship with Europe and developments on energy connectivity with the East. Prospects and challenges.  </w:t>
            </w:r>
          </w:p>
          <w:p w14:paraId="6384B31F" w14:textId="77777777" w:rsidR="001A30DA" w:rsidRPr="001A30DA" w:rsidRDefault="001A30DA" w:rsidP="001A30DA">
            <w:pPr>
              <w:rPr>
                <w:rFonts w:asciiTheme="majorBidi" w:hAnsiTheme="majorBidi" w:cstheme="majorBidi"/>
                <w:bCs/>
                <w:sz w:val="20"/>
              </w:rPr>
            </w:pPr>
          </w:p>
          <w:p w14:paraId="5682E8F5" w14:textId="35E9514A" w:rsidR="001A30DA" w:rsidRPr="00242D91" w:rsidRDefault="001A30DA" w:rsidP="00242D91">
            <w:pPr>
              <w:rPr>
                <w:rFonts w:asciiTheme="majorBidi" w:hAnsiTheme="majorBidi" w:cstheme="majorBidi"/>
                <w:bCs/>
                <w:sz w:val="20"/>
              </w:rPr>
            </w:pPr>
            <w:proofErr w:type="spellStart"/>
            <w:r w:rsidRPr="001A30DA">
              <w:rPr>
                <w:rFonts w:asciiTheme="majorBidi" w:hAnsiTheme="majorBidi" w:cstheme="majorBidi"/>
                <w:bCs/>
                <w:sz w:val="20"/>
              </w:rPr>
              <w:t>Godzimirski</w:t>
            </w:r>
            <w:proofErr w:type="spellEnd"/>
            <w:r w:rsidRPr="001A30DA">
              <w:rPr>
                <w:rFonts w:asciiTheme="majorBidi" w:hAnsiTheme="majorBidi" w:cstheme="majorBidi"/>
                <w:bCs/>
                <w:sz w:val="20"/>
              </w:rPr>
              <w:t>, J. M. (2022). Energy, climate change and security: The Russian strategic conundrum. Journal of Eurasian Studies, 13(1), 16-31</w:t>
            </w:r>
          </w:p>
        </w:tc>
      </w:tr>
      <w:tr w:rsidR="001A30DA" w:rsidRPr="009B0EA7" w14:paraId="71CAAF43" w14:textId="77777777" w:rsidTr="001A30DA">
        <w:trPr>
          <w:trHeight w:val="134"/>
        </w:trPr>
        <w:tc>
          <w:tcPr>
            <w:tcW w:w="2120" w:type="dxa"/>
          </w:tcPr>
          <w:p w14:paraId="05955A7E" w14:textId="5BF612A4" w:rsidR="001A30DA" w:rsidRPr="001A30DA" w:rsidRDefault="001A30DA" w:rsidP="001A30DA">
            <w:pPr>
              <w:jc w:val="center"/>
              <w:rPr>
                <w:rFonts w:asciiTheme="majorBidi" w:hAnsiTheme="majorBidi" w:cstheme="majorBidi"/>
                <w:b/>
                <w:sz w:val="20"/>
                <w:lang w:val="el-GR"/>
              </w:rPr>
            </w:pPr>
            <w:r w:rsidRPr="001A30DA">
              <w:rPr>
                <w:rFonts w:asciiTheme="majorBidi" w:hAnsiTheme="majorBidi" w:cstheme="majorBidi"/>
                <w:b/>
                <w:sz w:val="20"/>
                <w:lang w:val="el-GR"/>
              </w:rPr>
              <w:t>11</w:t>
            </w:r>
            <w:proofErr w:type="spellStart"/>
            <w:r w:rsidRPr="001A30DA">
              <w:rPr>
                <w:rFonts w:asciiTheme="majorBidi" w:hAnsiTheme="majorBidi" w:cstheme="majorBidi"/>
                <w:b/>
                <w:sz w:val="20"/>
                <w:vertAlign w:val="superscript"/>
              </w:rPr>
              <w:t>th</w:t>
            </w:r>
            <w:proofErr w:type="spellEnd"/>
            <w:r w:rsidRPr="001A30DA">
              <w:rPr>
                <w:rFonts w:asciiTheme="majorBidi" w:hAnsiTheme="majorBidi" w:cstheme="majorBidi"/>
                <w:b/>
                <w:sz w:val="20"/>
                <w:vertAlign w:val="superscript"/>
              </w:rPr>
              <w:t xml:space="preserve"> </w:t>
            </w:r>
            <w:r w:rsidRPr="001A30DA">
              <w:rPr>
                <w:rFonts w:asciiTheme="majorBidi" w:hAnsiTheme="majorBidi" w:cstheme="majorBidi"/>
                <w:b/>
                <w:sz w:val="20"/>
              </w:rPr>
              <w:t>week</w:t>
            </w:r>
          </w:p>
        </w:tc>
        <w:tc>
          <w:tcPr>
            <w:tcW w:w="6776" w:type="dxa"/>
            <w:gridSpan w:val="3"/>
            <w:vAlign w:val="center"/>
          </w:tcPr>
          <w:p w14:paraId="54C325A3" w14:textId="77777777" w:rsidR="001A30DA" w:rsidRPr="001A30DA" w:rsidRDefault="001A30DA" w:rsidP="001A30DA">
            <w:pPr>
              <w:rPr>
                <w:rFonts w:asciiTheme="majorBidi" w:hAnsiTheme="majorBidi" w:cstheme="majorBidi"/>
                <w:b/>
                <w:bCs/>
                <w:sz w:val="20"/>
                <w:lang w:val="en-GB" w:eastAsia="el-GR"/>
              </w:rPr>
            </w:pPr>
            <w:r w:rsidRPr="001A30DA">
              <w:rPr>
                <w:rFonts w:asciiTheme="majorBidi" w:hAnsiTheme="majorBidi" w:cstheme="majorBidi"/>
                <w:b/>
                <w:bCs/>
                <w:sz w:val="20"/>
                <w:lang w:val="en-GB" w:eastAsia="el-GR"/>
              </w:rPr>
              <w:t>Russia and the “Rest” (Brazil, South Africa, Turkey, Iran)</w:t>
            </w:r>
          </w:p>
          <w:p w14:paraId="5D87AF70" w14:textId="77777777" w:rsidR="001A30DA" w:rsidRPr="001A30DA" w:rsidRDefault="001A30DA" w:rsidP="001A30DA">
            <w:pPr>
              <w:rPr>
                <w:rFonts w:asciiTheme="majorBidi" w:hAnsiTheme="majorBidi" w:cstheme="majorBidi"/>
                <w:sz w:val="20"/>
                <w:lang w:val="en-GB" w:eastAsia="el-GR"/>
              </w:rPr>
            </w:pPr>
            <w:r w:rsidRPr="001A30DA">
              <w:rPr>
                <w:rFonts w:asciiTheme="majorBidi" w:hAnsiTheme="majorBidi" w:cstheme="majorBidi"/>
                <w:sz w:val="20"/>
                <w:lang w:val="en-GB" w:eastAsia="el-GR"/>
              </w:rPr>
              <w:t xml:space="preserve">Russia’s bilateral relations with key regional powers. Moscow’s position and policies within the narrative of the “West vs the Rest”.  </w:t>
            </w:r>
          </w:p>
          <w:p w14:paraId="396231A2" w14:textId="77777777" w:rsidR="001A30DA" w:rsidRPr="001A30DA" w:rsidRDefault="001A30DA" w:rsidP="001A30DA">
            <w:pPr>
              <w:rPr>
                <w:rFonts w:asciiTheme="majorBidi" w:hAnsiTheme="majorBidi" w:cstheme="majorBidi"/>
                <w:sz w:val="20"/>
                <w:lang w:val="en-GB" w:eastAsia="el-GR"/>
              </w:rPr>
            </w:pPr>
          </w:p>
          <w:p w14:paraId="0716D472" w14:textId="77777777" w:rsidR="001A30DA" w:rsidRPr="001A30DA" w:rsidRDefault="001A30DA" w:rsidP="001A30DA">
            <w:pPr>
              <w:rPr>
                <w:rFonts w:asciiTheme="majorBidi" w:hAnsiTheme="majorBidi" w:cstheme="majorBidi"/>
                <w:sz w:val="20"/>
                <w:lang w:val="en-GB" w:eastAsia="el-GR"/>
              </w:rPr>
            </w:pPr>
            <w:r w:rsidRPr="001A30DA">
              <w:rPr>
                <w:rFonts w:asciiTheme="majorBidi" w:hAnsiTheme="majorBidi" w:cstheme="majorBidi"/>
                <w:sz w:val="20"/>
                <w:lang w:val="en-GB" w:eastAsia="el-GR"/>
              </w:rPr>
              <w:t xml:space="preserve">-Balci B., </w:t>
            </w:r>
            <w:proofErr w:type="spellStart"/>
            <w:r w:rsidRPr="001A30DA">
              <w:rPr>
                <w:rFonts w:asciiTheme="majorBidi" w:hAnsiTheme="majorBidi" w:cstheme="majorBidi"/>
                <w:sz w:val="20"/>
                <w:lang w:val="en-GB" w:eastAsia="el-GR"/>
              </w:rPr>
              <w:t>Monceau</w:t>
            </w:r>
            <w:proofErr w:type="spellEnd"/>
            <w:r w:rsidRPr="001A30DA">
              <w:rPr>
                <w:rFonts w:asciiTheme="majorBidi" w:hAnsiTheme="majorBidi" w:cstheme="majorBidi"/>
                <w:sz w:val="20"/>
                <w:lang w:val="en-GB" w:eastAsia="el-GR"/>
              </w:rPr>
              <w:t xml:space="preserve"> N. (eds) (2021) Turkey, Russia and Iran in the Middle East Establishing a New Regional Order, Springer. </w:t>
            </w:r>
          </w:p>
          <w:p w14:paraId="11E0BC8F" w14:textId="77777777" w:rsidR="001A30DA" w:rsidRPr="001A30DA" w:rsidRDefault="001A30DA" w:rsidP="001A30DA">
            <w:pPr>
              <w:rPr>
                <w:rFonts w:asciiTheme="majorBidi" w:hAnsiTheme="majorBidi" w:cstheme="majorBidi"/>
                <w:sz w:val="20"/>
                <w:lang w:val="en-GB" w:eastAsia="el-GR"/>
              </w:rPr>
            </w:pPr>
            <w:r w:rsidRPr="001A30DA">
              <w:rPr>
                <w:rFonts w:asciiTheme="majorBidi" w:hAnsiTheme="majorBidi" w:cstheme="majorBidi"/>
                <w:sz w:val="20"/>
                <w:lang w:val="en-GB" w:eastAsia="el-GR"/>
              </w:rPr>
              <w:t>-</w:t>
            </w:r>
            <w:proofErr w:type="spellStart"/>
            <w:r w:rsidRPr="001A30DA">
              <w:rPr>
                <w:rFonts w:asciiTheme="majorBidi" w:hAnsiTheme="majorBidi" w:cstheme="majorBidi"/>
                <w:sz w:val="20"/>
                <w:lang w:val="en-GB" w:eastAsia="el-GR"/>
              </w:rPr>
              <w:t>Cheterian</w:t>
            </w:r>
            <w:proofErr w:type="spellEnd"/>
            <w:r w:rsidRPr="001A30DA">
              <w:rPr>
                <w:rFonts w:asciiTheme="majorBidi" w:hAnsiTheme="majorBidi" w:cstheme="majorBidi"/>
                <w:sz w:val="20"/>
                <w:lang w:val="en-GB" w:eastAsia="el-GR"/>
              </w:rPr>
              <w:t xml:space="preserve"> V. (2023) Friend and Foe: Russia–Turkey relations before and after the war in Ukraine, Small Wars &amp; Insurgencies, 34:7, 1271-1294</w:t>
            </w:r>
          </w:p>
          <w:p w14:paraId="4DBD49F2" w14:textId="75AE74B1" w:rsidR="001A30DA" w:rsidRPr="001A30DA" w:rsidRDefault="001A30DA" w:rsidP="001A30DA">
            <w:pPr>
              <w:rPr>
                <w:rFonts w:asciiTheme="majorBidi" w:hAnsiTheme="majorBidi" w:cstheme="majorBidi"/>
                <w:sz w:val="20"/>
                <w:lang w:eastAsia="el-GR"/>
              </w:rPr>
            </w:pPr>
            <w:r w:rsidRPr="001A30DA">
              <w:rPr>
                <w:rFonts w:asciiTheme="majorBidi" w:hAnsiTheme="majorBidi" w:cstheme="majorBidi"/>
                <w:sz w:val="20"/>
                <w:lang w:val="en-GB" w:eastAsia="el-GR"/>
              </w:rPr>
              <w:t xml:space="preserve">-Duggan, N., </w:t>
            </w:r>
            <w:proofErr w:type="spellStart"/>
            <w:r w:rsidRPr="001A30DA">
              <w:rPr>
                <w:rFonts w:asciiTheme="majorBidi" w:hAnsiTheme="majorBidi" w:cstheme="majorBidi"/>
                <w:sz w:val="20"/>
                <w:lang w:val="en-GB" w:eastAsia="el-GR"/>
              </w:rPr>
              <w:t>Hooijmaaijers</w:t>
            </w:r>
            <w:proofErr w:type="spellEnd"/>
            <w:r w:rsidRPr="001A30DA">
              <w:rPr>
                <w:rFonts w:asciiTheme="majorBidi" w:hAnsiTheme="majorBidi" w:cstheme="majorBidi"/>
                <w:sz w:val="20"/>
                <w:lang w:val="en-GB" w:eastAsia="el-GR"/>
              </w:rPr>
              <w:t xml:space="preserve">, B., </w:t>
            </w:r>
            <w:proofErr w:type="spellStart"/>
            <w:r w:rsidRPr="001A30DA">
              <w:rPr>
                <w:rFonts w:asciiTheme="majorBidi" w:hAnsiTheme="majorBidi" w:cstheme="majorBidi"/>
                <w:sz w:val="20"/>
                <w:lang w:val="en-GB" w:eastAsia="el-GR"/>
              </w:rPr>
              <w:t>Rewizorski</w:t>
            </w:r>
            <w:proofErr w:type="spellEnd"/>
            <w:r w:rsidRPr="001A30DA">
              <w:rPr>
                <w:rFonts w:asciiTheme="majorBidi" w:hAnsiTheme="majorBidi" w:cstheme="majorBidi"/>
                <w:sz w:val="20"/>
                <w:lang w:val="en-GB" w:eastAsia="el-GR"/>
              </w:rPr>
              <w:t xml:space="preserve">, M., &amp; </w:t>
            </w:r>
            <w:proofErr w:type="spellStart"/>
            <w:r w:rsidRPr="001A30DA">
              <w:rPr>
                <w:rFonts w:asciiTheme="majorBidi" w:hAnsiTheme="majorBidi" w:cstheme="majorBidi"/>
                <w:sz w:val="20"/>
                <w:lang w:val="en-GB" w:eastAsia="el-GR"/>
              </w:rPr>
              <w:t>Arapova</w:t>
            </w:r>
            <w:proofErr w:type="spellEnd"/>
            <w:r w:rsidRPr="001A30DA">
              <w:rPr>
                <w:rFonts w:asciiTheme="majorBidi" w:hAnsiTheme="majorBidi" w:cstheme="majorBidi"/>
                <w:sz w:val="20"/>
                <w:lang w:val="en-GB" w:eastAsia="el-GR"/>
              </w:rPr>
              <w:t xml:space="preserve">, E. (2022). ‘The BRICS, Global Governance, and Challenges for South–South Cooperation in a Post-Western World’. </w:t>
            </w:r>
            <w:r w:rsidRPr="00242D91">
              <w:rPr>
                <w:rFonts w:asciiTheme="majorBidi" w:hAnsiTheme="majorBidi" w:cstheme="majorBidi"/>
                <w:i/>
                <w:iCs/>
                <w:sz w:val="20"/>
                <w:lang w:val="en-GB" w:eastAsia="el-GR"/>
              </w:rPr>
              <w:t>International Political Science Review</w:t>
            </w:r>
            <w:r w:rsidRPr="001A30DA">
              <w:rPr>
                <w:rFonts w:asciiTheme="majorBidi" w:hAnsiTheme="majorBidi" w:cstheme="majorBidi"/>
                <w:sz w:val="20"/>
                <w:lang w:val="en-GB" w:eastAsia="el-GR"/>
              </w:rPr>
              <w:t>, 43(4), 469-480.</w:t>
            </w:r>
          </w:p>
        </w:tc>
      </w:tr>
      <w:tr w:rsidR="001A30DA" w14:paraId="3627631A" w14:textId="77777777" w:rsidTr="001A30DA">
        <w:trPr>
          <w:trHeight w:val="134"/>
        </w:trPr>
        <w:tc>
          <w:tcPr>
            <w:tcW w:w="2120" w:type="dxa"/>
          </w:tcPr>
          <w:p w14:paraId="07B2A231" w14:textId="10930FEE" w:rsidR="001A30DA" w:rsidRPr="001A30DA" w:rsidRDefault="001A30DA" w:rsidP="001A30DA">
            <w:pPr>
              <w:jc w:val="center"/>
              <w:rPr>
                <w:rFonts w:asciiTheme="majorBidi" w:hAnsiTheme="majorBidi" w:cstheme="majorBidi"/>
                <w:b/>
                <w:sz w:val="20"/>
              </w:rPr>
            </w:pPr>
            <w:r w:rsidRPr="001A30DA">
              <w:rPr>
                <w:rFonts w:asciiTheme="majorBidi" w:hAnsiTheme="majorBidi" w:cstheme="majorBidi"/>
                <w:b/>
                <w:sz w:val="20"/>
                <w:lang w:val="el-GR"/>
              </w:rPr>
              <w:lastRenderedPageBreak/>
              <w:t>12</w:t>
            </w:r>
            <w:proofErr w:type="spellStart"/>
            <w:r w:rsidRPr="001A30DA">
              <w:rPr>
                <w:rFonts w:asciiTheme="majorBidi" w:hAnsiTheme="majorBidi" w:cstheme="majorBidi"/>
                <w:b/>
                <w:sz w:val="20"/>
                <w:vertAlign w:val="superscript"/>
              </w:rPr>
              <w:t>th</w:t>
            </w:r>
            <w:proofErr w:type="spellEnd"/>
            <w:r w:rsidRPr="001A30DA">
              <w:rPr>
                <w:rFonts w:asciiTheme="majorBidi" w:hAnsiTheme="majorBidi" w:cstheme="majorBidi"/>
                <w:b/>
                <w:sz w:val="20"/>
                <w:vertAlign w:val="superscript"/>
              </w:rPr>
              <w:t xml:space="preserve"> </w:t>
            </w:r>
            <w:r w:rsidRPr="001A30DA">
              <w:rPr>
                <w:rFonts w:asciiTheme="majorBidi" w:hAnsiTheme="majorBidi" w:cstheme="majorBidi"/>
                <w:b/>
                <w:sz w:val="20"/>
              </w:rPr>
              <w:t>week</w:t>
            </w:r>
          </w:p>
        </w:tc>
        <w:tc>
          <w:tcPr>
            <w:tcW w:w="6776" w:type="dxa"/>
            <w:gridSpan w:val="3"/>
            <w:vAlign w:val="center"/>
          </w:tcPr>
          <w:p w14:paraId="6B04E739" w14:textId="6F1A845E" w:rsidR="001A30DA" w:rsidRPr="001A30DA" w:rsidRDefault="001A30DA" w:rsidP="001A30DA">
            <w:pPr>
              <w:rPr>
                <w:rFonts w:asciiTheme="majorBidi" w:hAnsiTheme="majorBidi" w:cstheme="majorBidi"/>
                <w:bCs/>
                <w:sz w:val="20"/>
              </w:rPr>
            </w:pPr>
            <w:r w:rsidRPr="001A30DA">
              <w:rPr>
                <w:rFonts w:asciiTheme="majorBidi" w:hAnsiTheme="majorBidi" w:cstheme="majorBidi"/>
                <w:sz w:val="20"/>
                <w:lang w:val="en-GB" w:eastAsia="el-GR"/>
              </w:rPr>
              <w:t>Presentations</w:t>
            </w:r>
          </w:p>
        </w:tc>
      </w:tr>
      <w:tr w:rsidR="001A30DA" w:rsidRPr="00C533C9" w14:paraId="1848EE42" w14:textId="77777777" w:rsidTr="001A30DA">
        <w:trPr>
          <w:trHeight w:val="134"/>
        </w:trPr>
        <w:tc>
          <w:tcPr>
            <w:tcW w:w="2120" w:type="dxa"/>
          </w:tcPr>
          <w:p w14:paraId="2011BDC8" w14:textId="41E5CE30" w:rsidR="001A30DA" w:rsidRPr="001A30DA" w:rsidRDefault="001A30DA" w:rsidP="001A30DA">
            <w:pPr>
              <w:jc w:val="center"/>
              <w:rPr>
                <w:rFonts w:asciiTheme="majorBidi" w:hAnsiTheme="majorBidi" w:cstheme="majorBidi"/>
                <w:b/>
                <w:sz w:val="20"/>
              </w:rPr>
            </w:pPr>
            <w:r w:rsidRPr="001A30DA">
              <w:rPr>
                <w:rFonts w:asciiTheme="majorBidi" w:hAnsiTheme="majorBidi" w:cstheme="majorBidi"/>
                <w:b/>
                <w:sz w:val="20"/>
                <w:lang w:val="el-GR"/>
              </w:rPr>
              <w:t>13</w:t>
            </w:r>
            <w:proofErr w:type="spellStart"/>
            <w:r w:rsidRPr="001A30DA">
              <w:rPr>
                <w:rFonts w:asciiTheme="majorBidi" w:hAnsiTheme="majorBidi" w:cstheme="majorBidi"/>
                <w:b/>
                <w:sz w:val="20"/>
                <w:vertAlign w:val="superscript"/>
              </w:rPr>
              <w:t>th</w:t>
            </w:r>
            <w:proofErr w:type="spellEnd"/>
            <w:r w:rsidRPr="001A30DA">
              <w:rPr>
                <w:rFonts w:asciiTheme="majorBidi" w:hAnsiTheme="majorBidi" w:cstheme="majorBidi"/>
                <w:b/>
                <w:sz w:val="20"/>
                <w:vertAlign w:val="superscript"/>
                <w:lang w:val="el-GR"/>
              </w:rPr>
              <w:t xml:space="preserve"> </w:t>
            </w:r>
            <w:r w:rsidRPr="001A30DA">
              <w:rPr>
                <w:rFonts w:asciiTheme="majorBidi" w:hAnsiTheme="majorBidi" w:cstheme="majorBidi"/>
                <w:b/>
                <w:sz w:val="20"/>
              </w:rPr>
              <w:t>week</w:t>
            </w:r>
          </w:p>
        </w:tc>
        <w:tc>
          <w:tcPr>
            <w:tcW w:w="6776" w:type="dxa"/>
            <w:gridSpan w:val="3"/>
            <w:vAlign w:val="center"/>
          </w:tcPr>
          <w:p w14:paraId="63AA5342" w14:textId="02D11A9E" w:rsidR="001A30DA" w:rsidRPr="001A30DA" w:rsidRDefault="001A30DA" w:rsidP="001A30DA">
            <w:pPr>
              <w:rPr>
                <w:rFonts w:asciiTheme="majorBidi" w:hAnsiTheme="majorBidi" w:cstheme="majorBidi"/>
                <w:sz w:val="20"/>
                <w:lang w:val="en-GB" w:eastAsia="el-GR"/>
              </w:rPr>
            </w:pPr>
            <w:r w:rsidRPr="001A30DA">
              <w:rPr>
                <w:rFonts w:asciiTheme="majorBidi" w:hAnsiTheme="majorBidi" w:cstheme="majorBidi"/>
                <w:sz w:val="20"/>
                <w:lang w:eastAsia="el-GR"/>
              </w:rPr>
              <w:t xml:space="preserve">Presentations, </w:t>
            </w:r>
            <w:r w:rsidRPr="001A30DA">
              <w:rPr>
                <w:rFonts w:asciiTheme="majorBidi" w:hAnsiTheme="majorBidi" w:cstheme="majorBidi"/>
                <w:sz w:val="20"/>
              </w:rPr>
              <w:t>Summing Up, Conclusions and Reflections.</w:t>
            </w:r>
          </w:p>
        </w:tc>
      </w:tr>
    </w:tbl>
    <w:p w14:paraId="4B7DE325" w14:textId="77777777" w:rsidR="007F59A8" w:rsidRDefault="007F59A8" w:rsidP="00C533C9">
      <w:pPr>
        <w:overflowPunct/>
        <w:autoSpaceDE/>
        <w:autoSpaceDN/>
        <w:adjustRightInd/>
        <w:spacing w:before="100" w:beforeAutospacing="1" w:after="100" w:afterAutospacing="1" w:line="240" w:lineRule="auto"/>
        <w:textAlignment w:val="auto"/>
        <w:rPr>
          <w:szCs w:val="24"/>
          <w:lang w:eastAsia="el-GR"/>
        </w:rPr>
      </w:pPr>
    </w:p>
    <w:p w14:paraId="377FE51F" w14:textId="77777777" w:rsidR="009056BD" w:rsidRPr="00A50184" w:rsidRDefault="009056BD" w:rsidP="009056BD"/>
    <w:p w14:paraId="4085B891" w14:textId="77777777" w:rsidR="007046B7" w:rsidRDefault="007046B7"/>
    <w:sectPr w:rsidR="007046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125"/>
    <w:multiLevelType w:val="hybridMultilevel"/>
    <w:tmpl w:val="265ACAB6"/>
    <w:lvl w:ilvl="0" w:tplc="AEB858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B1A73"/>
    <w:multiLevelType w:val="hybridMultilevel"/>
    <w:tmpl w:val="222416B4"/>
    <w:lvl w:ilvl="0" w:tplc="ABF0AF4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810633499">
    <w:abstractNumId w:val="1"/>
  </w:num>
  <w:num w:numId="2" w16cid:durableId="66639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BD"/>
    <w:rsid w:val="00154006"/>
    <w:rsid w:val="001A30DA"/>
    <w:rsid w:val="00242D91"/>
    <w:rsid w:val="003B5B40"/>
    <w:rsid w:val="00451EA0"/>
    <w:rsid w:val="00470BC9"/>
    <w:rsid w:val="005022BE"/>
    <w:rsid w:val="00515CEE"/>
    <w:rsid w:val="0054308C"/>
    <w:rsid w:val="005605C0"/>
    <w:rsid w:val="0057406A"/>
    <w:rsid w:val="007046B7"/>
    <w:rsid w:val="007F59A8"/>
    <w:rsid w:val="007F5F85"/>
    <w:rsid w:val="00817760"/>
    <w:rsid w:val="008A5DDE"/>
    <w:rsid w:val="008E3D36"/>
    <w:rsid w:val="009056BD"/>
    <w:rsid w:val="009102C5"/>
    <w:rsid w:val="009E1A7A"/>
    <w:rsid w:val="00A50184"/>
    <w:rsid w:val="00B122CE"/>
    <w:rsid w:val="00B5031D"/>
    <w:rsid w:val="00B902F7"/>
    <w:rsid w:val="00C533C9"/>
    <w:rsid w:val="00CB3035"/>
    <w:rsid w:val="00CF5D1E"/>
    <w:rsid w:val="00D46328"/>
    <w:rsid w:val="00EF17BF"/>
    <w:rsid w:val="00F540C9"/>
    <w:rsid w:val="00FC7D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9C0EF"/>
  <w15:chartTrackingRefBased/>
  <w15:docId w15:val="{2DB2F09C-603F-4D34-B9C6-EE28514E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6BD"/>
    <w:pPr>
      <w:overflowPunct w:val="0"/>
      <w:autoSpaceDE w:val="0"/>
      <w:autoSpaceDN w:val="0"/>
      <w:adjustRightInd w:val="0"/>
      <w:spacing w:line="360" w:lineRule="auto"/>
      <w:jc w:val="both"/>
      <w:textAlignment w:val="baseline"/>
    </w:pPr>
    <w:rPr>
      <w:sz w:val="24"/>
      <w:lang w:val="en-US" w:eastAsia="en-US"/>
    </w:rPr>
  </w:style>
  <w:style w:type="paragraph" w:styleId="5">
    <w:name w:val="heading 5"/>
    <w:basedOn w:val="a"/>
    <w:next w:val="a"/>
    <w:qFormat/>
    <w:rsid w:val="009056BD"/>
    <w:pPr>
      <w:keepNext/>
      <w:jc w:val="cente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022BE"/>
    <w:rPr>
      <w:color w:val="0000FF"/>
      <w:u w:val="single"/>
    </w:rPr>
  </w:style>
  <w:style w:type="character" w:styleId="a3">
    <w:name w:val="Emphasis"/>
    <w:qFormat/>
    <w:rsid w:val="009E1A7A"/>
    <w:rPr>
      <w:i/>
      <w:iCs/>
    </w:rPr>
  </w:style>
  <w:style w:type="paragraph" w:styleId="a4">
    <w:name w:val="List Paragraph"/>
    <w:basedOn w:val="a"/>
    <w:uiPriority w:val="34"/>
    <w:qFormat/>
    <w:rsid w:val="00FC7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96356">
      <w:bodyDiv w:val="1"/>
      <w:marLeft w:val="0"/>
      <w:marRight w:val="0"/>
      <w:marTop w:val="0"/>
      <w:marBottom w:val="0"/>
      <w:divBdr>
        <w:top w:val="none" w:sz="0" w:space="0" w:color="auto"/>
        <w:left w:val="none" w:sz="0" w:space="0" w:color="auto"/>
        <w:bottom w:val="none" w:sz="0" w:space="0" w:color="auto"/>
        <w:right w:val="none" w:sz="0" w:space="0" w:color="auto"/>
      </w:divBdr>
    </w:div>
    <w:div w:id="10974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4337/9781788112932.00018" TargetMode="External"/><Relationship Id="rId5" Type="http://schemas.openxmlformats.org/officeDocument/2006/relationships/hyperlink" Target="https://doi.org/10.1093/ia/iiy148"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1103</Words>
  <Characters>6291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Title</vt:lpstr>
    </vt:vector>
  </TitlesOfParts>
  <Company>home</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h.varesi</dc:creator>
  <cp:keywords/>
  <dc:description/>
  <cp:lastModifiedBy>konstantinos zarras</cp:lastModifiedBy>
  <cp:revision>5</cp:revision>
  <dcterms:created xsi:type="dcterms:W3CDTF">2023-10-31T07:20:00Z</dcterms:created>
  <dcterms:modified xsi:type="dcterms:W3CDTF">2023-11-02T09:32:00Z</dcterms:modified>
</cp:coreProperties>
</file>