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6B7" w:rsidRDefault="00CE5C65">
      <w:pPr>
        <w:rPr>
          <w:lang w:val="en-US"/>
        </w:rPr>
      </w:pPr>
      <w:r>
        <w:rPr>
          <w:noProof/>
        </w:rPr>
        <w:drawing>
          <wp:inline distT="0" distB="0" distL="0" distR="0">
            <wp:extent cx="5270500" cy="1975485"/>
            <wp:effectExtent l="19050" t="0" r="635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270500" cy="1975485"/>
                    </a:xfrm>
                    <a:prstGeom prst="rect">
                      <a:avLst/>
                    </a:prstGeom>
                    <a:noFill/>
                    <a:ln w="9525">
                      <a:noFill/>
                      <a:miter lim="800000"/>
                      <a:headEnd/>
                      <a:tailEnd/>
                    </a:ln>
                  </pic:spPr>
                </pic:pic>
              </a:graphicData>
            </a:graphic>
          </wp:inline>
        </w:drawing>
      </w:r>
    </w:p>
    <w:p w:rsidR="00DD5964" w:rsidRDefault="00306950" w:rsidP="003F1084">
      <w:pPr>
        <w:jc w:val="both"/>
        <w:rPr>
          <w:sz w:val="20"/>
          <w:szCs w:val="20"/>
          <w:lang w:val="en-US"/>
        </w:rPr>
      </w:pPr>
      <w:r w:rsidRPr="00306950">
        <w:rPr>
          <w:sz w:val="20"/>
          <w:szCs w:val="20"/>
          <w:lang w:val="en-US"/>
        </w:rPr>
        <w:t>Please</w:t>
      </w:r>
      <w:r>
        <w:rPr>
          <w:sz w:val="20"/>
          <w:szCs w:val="20"/>
          <w:lang w:val="en-US"/>
        </w:rPr>
        <w:t xml:space="preserve"> find below the basic points on which the selection of our partners and our cooperation with them is based:</w:t>
      </w:r>
    </w:p>
    <w:p w:rsidR="00306950" w:rsidRDefault="00306950" w:rsidP="003F1084">
      <w:pPr>
        <w:jc w:val="both"/>
        <w:rPr>
          <w:sz w:val="20"/>
          <w:szCs w:val="20"/>
          <w:lang w:val="en-US"/>
        </w:rPr>
      </w:pPr>
      <w:r>
        <w:rPr>
          <w:sz w:val="20"/>
          <w:szCs w:val="20"/>
          <w:lang w:val="en-US"/>
        </w:rPr>
        <w:t>Similarity of the course catalogue between the partner departments</w:t>
      </w:r>
      <w:r w:rsidR="00EB235F">
        <w:rPr>
          <w:sz w:val="20"/>
          <w:szCs w:val="20"/>
          <w:lang w:val="en-US"/>
        </w:rPr>
        <w:t>.</w:t>
      </w:r>
    </w:p>
    <w:p w:rsidR="00306950" w:rsidRDefault="00306950" w:rsidP="003F1084">
      <w:pPr>
        <w:jc w:val="both"/>
        <w:rPr>
          <w:sz w:val="20"/>
          <w:szCs w:val="20"/>
          <w:lang w:val="en-US"/>
        </w:rPr>
      </w:pPr>
      <w:r>
        <w:rPr>
          <w:sz w:val="20"/>
          <w:szCs w:val="20"/>
          <w:lang w:val="en-US"/>
        </w:rPr>
        <w:t xml:space="preserve">Developing cooperation agreements that already exist on a </w:t>
      </w:r>
      <w:r w:rsidR="00EB235F">
        <w:rPr>
          <w:sz w:val="20"/>
          <w:szCs w:val="20"/>
          <w:lang w:val="en-US"/>
        </w:rPr>
        <w:t>research or other academic level.</w:t>
      </w:r>
    </w:p>
    <w:p w:rsidR="00306950" w:rsidRDefault="00306950" w:rsidP="003F1084">
      <w:pPr>
        <w:jc w:val="both"/>
        <w:rPr>
          <w:sz w:val="20"/>
          <w:szCs w:val="20"/>
          <w:lang w:val="en-US"/>
        </w:rPr>
      </w:pPr>
      <w:r>
        <w:rPr>
          <w:sz w:val="20"/>
          <w:szCs w:val="20"/>
          <w:lang w:val="en-US"/>
        </w:rPr>
        <w:t>Expanding personal acquaintances among professors to institutional cooperation agreements</w:t>
      </w:r>
      <w:r w:rsidR="00EB235F">
        <w:rPr>
          <w:sz w:val="20"/>
          <w:szCs w:val="20"/>
          <w:lang w:val="en-US"/>
        </w:rPr>
        <w:t>.</w:t>
      </w:r>
    </w:p>
    <w:p w:rsidR="00F60104" w:rsidRDefault="00F60104" w:rsidP="003F1084">
      <w:pPr>
        <w:jc w:val="both"/>
        <w:rPr>
          <w:sz w:val="20"/>
          <w:szCs w:val="20"/>
          <w:lang w:val="en-US"/>
        </w:rPr>
      </w:pPr>
      <w:r>
        <w:rPr>
          <w:sz w:val="20"/>
          <w:szCs w:val="20"/>
          <w:lang w:val="en-US"/>
        </w:rPr>
        <w:t>Approaching universities whose best practices are broadly recognized, also taking into account their expressed interest in transferring their know-how</w:t>
      </w:r>
      <w:r w:rsidR="00EB235F">
        <w:rPr>
          <w:sz w:val="20"/>
          <w:szCs w:val="20"/>
          <w:lang w:val="en-US"/>
        </w:rPr>
        <w:t>.</w:t>
      </w:r>
    </w:p>
    <w:p w:rsidR="00F60104" w:rsidRDefault="00F60104" w:rsidP="003F1084">
      <w:pPr>
        <w:jc w:val="both"/>
        <w:rPr>
          <w:sz w:val="20"/>
          <w:szCs w:val="20"/>
          <w:lang w:val="en-US"/>
        </w:rPr>
      </w:pPr>
      <w:r>
        <w:rPr>
          <w:sz w:val="20"/>
          <w:szCs w:val="20"/>
          <w:lang w:val="en-US"/>
        </w:rPr>
        <w:t>Responding to interest expressed by other Universities</w:t>
      </w:r>
      <w:r w:rsidR="00EB235F">
        <w:rPr>
          <w:sz w:val="20"/>
          <w:szCs w:val="20"/>
          <w:lang w:val="en-US"/>
        </w:rPr>
        <w:t xml:space="preserve"> that wish to work with us and show interest in mutual mobility, especially with neighbor countries.</w:t>
      </w:r>
    </w:p>
    <w:p w:rsidR="00EB235F" w:rsidRDefault="00EB235F" w:rsidP="003F1084">
      <w:pPr>
        <w:jc w:val="both"/>
        <w:rPr>
          <w:sz w:val="20"/>
          <w:szCs w:val="20"/>
          <w:lang w:val="en-US"/>
        </w:rPr>
      </w:pPr>
      <w:r>
        <w:rPr>
          <w:sz w:val="20"/>
          <w:szCs w:val="20"/>
          <w:lang w:val="en-US"/>
        </w:rPr>
        <w:t>The main objective we aim to achieve through the Erasmus Charter for Higher Education 2014-2020 (E.C.H.E. 2014-2020) is the extroversion of our University, as it is presented in details in the last section.</w:t>
      </w:r>
    </w:p>
    <w:p w:rsidR="00EB235F" w:rsidRPr="00306950" w:rsidRDefault="00EB235F" w:rsidP="003F1084">
      <w:pPr>
        <w:jc w:val="both"/>
        <w:rPr>
          <w:sz w:val="20"/>
          <w:szCs w:val="20"/>
          <w:lang w:val="en-US"/>
        </w:rPr>
      </w:pPr>
      <w:r>
        <w:rPr>
          <w:sz w:val="20"/>
          <w:szCs w:val="20"/>
          <w:lang w:val="en-US"/>
        </w:rPr>
        <w:t>Our mobility activities target our students and staff, teaching and training activities, while our main focus is on increasing participation.</w:t>
      </w:r>
    </w:p>
    <w:p w:rsidR="00306950" w:rsidRDefault="00306950">
      <w:pPr>
        <w:rPr>
          <w:lang w:val="en-US"/>
        </w:rPr>
      </w:pPr>
    </w:p>
    <w:p w:rsidR="00306950" w:rsidRDefault="00306950">
      <w:pPr>
        <w:rPr>
          <w:lang w:val="en-US"/>
        </w:rPr>
      </w:pPr>
    </w:p>
    <w:p w:rsidR="00DD5964" w:rsidRDefault="00CE5C65">
      <w:pPr>
        <w:rPr>
          <w:lang w:val="en-US"/>
        </w:rPr>
      </w:pPr>
      <w:r>
        <w:rPr>
          <w:noProof/>
        </w:rPr>
        <w:drawing>
          <wp:inline distT="0" distB="0" distL="0" distR="0">
            <wp:extent cx="5270500" cy="500380"/>
            <wp:effectExtent l="19050" t="0" r="635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270500" cy="500380"/>
                    </a:xfrm>
                    <a:prstGeom prst="rect">
                      <a:avLst/>
                    </a:prstGeom>
                    <a:noFill/>
                    <a:ln w="9525">
                      <a:noFill/>
                      <a:miter lim="800000"/>
                      <a:headEnd/>
                      <a:tailEnd/>
                    </a:ln>
                  </pic:spPr>
                </pic:pic>
              </a:graphicData>
            </a:graphic>
          </wp:inline>
        </w:drawing>
      </w:r>
    </w:p>
    <w:p w:rsidR="00DD5964" w:rsidRDefault="00DD5964">
      <w:pPr>
        <w:rPr>
          <w:lang w:val="en-US"/>
        </w:rPr>
      </w:pPr>
    </w:p>
    <w:p w:rsidR="00DD5964" w:rsidRPr="00DD5964" w:rsidRDefault="00CE5C65">
      <w:pPr>
        <w:rPr>
          <w:lang w:val="en-US"/>
        </w:rPr>
      </w:pPr>
      <w:r>
        <w:rPr>
          <w:noProof/>
        </w:rPr>
        <w:drawing>
          <wp:inline distT="0" distB="0" distL="0" distR="0">
            <wp:extent cx="5262245" cy="612775"/>
            <wp:effectExtent l="1905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262245" cy="612775"/>
                    </a:xfrm>
                    <a:prstGeom prst="rect">
                      <a:avLst/>
                    </a:prstGeom>
                    <a:noFill/>
                    <a:ln w="9525">
                      <a:noFill/>
                      <a:miter lim="800000"/>
                      <a:headEnd/>
                      <a:tailEnd/>
                    </a:ln>
                  </pic:spPr>
                </pic:pic>
              </a:graphicData>
            </a:graphic>
          </wp:inline>
        </w:drawing>
      </w:r>
    </w:p>
    <w:p w:rsidR="00DD5964" w:rsidRDefault="00DD5964" w:rsidP="003F1084">
      <w:pPr>
        <w:jc w:val="both"/>
        <w:rPr>
          <w:lang w:val="en-US"/>
        </w:rPr>
      </w:pPr>
    </w:p>
    <w:p w:rsidR="00DD5964" w:rsidRDefault="003F1084" w:rsidP="003F1084">
      <w:pPr>
        <w:jc w:val="both"/>
        <w:rPr>
          <w:sz w:val="20"/>
          <w:szCs w:val="20"/>
          <w:lang w:val="en-US"/>
        </w:rPr>
      </w:pPr>
      <w:r>
        <w:rPr>
          <w:sz w:val="20"/>
          <w:szCs w:val="20"/>
          <w:lang w:val="en-US"/>
        </w:rPr>
        <w:t xml:space="preserve">The extroversion of our University is one of the key pillars of its strategy towards constantly improving the quality of education offered and the pursuit of excellence, research and teaching. Extroversion aims both in collaboration with other academic institutions, domestic and foreign, and institutions related to the professional and business network in </w:t>
      </w:r>
      <w:smartTag w:uri="urn:schemas-microsoft-com:office:smarttags" w:element="country-region">
        <w:smartTag w:uri="urn:schemas-microsoft-com:office:smarttags" w:element="place">
          <w:r>
            <w:rPr>
              <w:sz w:val="20"/>
              <w:szCs w:val="20"/>
              <w:lang w:val="en-US"/>
            </w:rPr>
            <w:t>Greece</w:t>
          </w:r>
        </w:smartTag>
      </w:smartTag>
      <w:r>
        <w:rPr>
          <w:sz w:val="20"/>
          <w:szCs w:val="20"/>
          <w:lang w:val="en-US"/>
        </w:rPr>
        <w:t xml:space="preserve"> and abroad. In this context, the participation of our University to the Erasmus Charter for Higher Education 2014-2020 (E.C.H.E. 2014-2020) is crucial. Specifically:</w:t>
      </w:r>
    </w:p>
    <w:p w:rsidR="003F1084" w:rsidRDefault="003F1084" w:rsidP="003F1084">
      <w:pPr>
        <w:jc w:val="both"/>
        <w:rPr>
          <w:sz w:val="20"/>
          <w:szCs w:val="20"/>
          <w:lang w:val="en-US"/>
        </w:rPr>
      </w:pPr>
      <w:r>
        <w:rPr>
          <w:sz w:val="20"/>
          <w:szCs w:val="20"/>
          <w:lang w:val="en-US"/>
        </w:rPr>
        <w:t>Through international cooperation and mobility offered by E.C.H.E. 2014-2020</w:t>
      </w:r>
      <w:r w:rsidRPr="003F1084">
        <w:rPr>
          <w:sz w:val="20"/>
          <w:szCs w:val="20"/>
          <w:lang w:val="en-US"/>
        </w:rPr>
        <w:t xml:space="preserve"> </w:t>
      </w:r>
      <w:r>
        <w:rPr>
          <w:sz w:val="20"/>
          <w:szCs w:val="20"/>
          <w:lang w:val="en-US"/>
        </w:rPr>
        <w:t>the University and its workforce will benefit in terms of learning, research, employment, and administration. Contact with institutions and enterprises from other countries will broaden their educational research and working horizons, to the extent that members of our community will live in different environments</w:t>
      </w:r>
      <w:r w:rsidR="007D3144">
        <w:rPr>
          <w:sz w:val="20"/>
          <w:szCs w:val="20"/>
          <w:lang w:val="en-US"/>
        </w:rPr>
        <w:t>, which, whether more or less developed, will contribute to scientific and work osmosis and experience.</w:t>
      </w:r>
    </w:p>
    <w:p w:rsidR="007D3144" w:rsidRDefault="007D3144" w:rsidP="003F1084">
      <w:pPr>
        <w:jc w:val="both"/>
        <w:rPr>
          <w:sz w:val="20"/>
          <w:szCs w:val="20"/>
          <w:lang w:val="en-US"/>
        </w:rPr>
      </w:pPr>
      <w:r>
        <w:rPr>
          <w:sz w:val="20"/>
          <w:szCs w:val="20"/>
          <w:lang w:val="en-US"/>
        </w:rPr>
        <w:t>Our participation in E.C.H.E. 2014-2020 serves the goal of expanding its partnerships, both in terms of increasing the number of collaborating institutions and providers of employment and in terms of object cooperation. Our University fosters the above expansion through transparent, easily accessible and complete information, encouragement and otherwise facilitates the members of the University community to participate in the Erasmus existing programs, but also to bring new Erasmus partnerships. Particular attention is shown to support the participation of individuals</w:t>
      </w:r>
      <w:r w:rsidR="00195A55">
        <w:rPr>
          <w:sz w:val="20"/>
          <w:szCs w:val="20"/>
          <w:lang w:val="en-US"/>
        </w:rPr>
        <w:t xml:space="preserve"> with financial difficulties or other special needs.</w:t>
      </w:r>
    </w:p>
    <w:p w:rsidR="00195A55" w:rsidRDefault="00195A55" w:rsidP="003F1084">
      <w:pPr>
        <w:jc w:val="both"/>
        <w:rPr>
          <w:sz w:val="20"/>
          <w:szCs w:val="20"/>
          <w:lang w:val="en-US"/>
        </w:rPr>
      </w:pPr>
      <w:r>
        <w:rPr>
          <w:sz w:val="20"/>
          <w:szCs w:val="20"/>
          <w:lang w:val="en-US"/>
        </w:rPr>
        <w:t xml:space="preserve">Another goal, which we believe will serve our participation in E.C.H.E. 2014-2020, is to constantly upgrade the quality of education through its targeting in peak disciplines, using the most advanced </w:t>
      </w:r>
      <w:r>
        <w:rPr>
          <w:sz w:val="20"/>
          <w:szCs w:val="20"/>
          <w:lang w:val="en-US"/>
        </w:rPr>
        <w:lastRenderedPageBreak/>
        <w:t xml:space="preserve">teaching methods in terms of learning and technology. The enhanced quality of our studies and all of our services aimed largely at attracting researchers/students from Balkans, Eastern Europe and the </w:t>
      </w:r>
      <w:smartTag w:uri="urn:schemas-microsoft-com:office:smarttags" w:element="place">
        <w:r>
          <w:rPr>
            <w:sz w:val="20"/>
            <w:szCs w:val="20"/>
            <w:lang w:val="en-US"/>
          </w:rPr>
          <w:t>Mediterranean</w:t>
        </w:r>
      </w:smartTag>
      <w:r>
        <w:rPr>
          <w:sz w:val="20"/>
          <w:szCs w:val="20"/>
          <w:lang w:val="en-US"/>
        </w:rPr>
        <w:t>, so that our University will become a highly popular and recognized research and educational destination in our region.</w:t>
      </w:r>
    </w:p>
    <w:p w:rsidR="00195A55" w:rsidRDefault="00195A55" w:rsidP="003F1084">
      <w:pPr>
        <w:jc w:val="both"/>
        <w:rPr>
          <w:sz w:val="20"/>
          <w:szCs w:val="20"/>
          <w:lang w:val="en-US"/>
        </w:rPr>
      </w:pPr>
      <w:r>
        <w:rPr>
          <w:sz w:val="20"/>
          <w:szCs w:val="20"/>
          <w:lang w:val="en-US"/>
        </w:rPr>
        <w:t xml:space="preserve">We also </w:t>
      </w:r>
      <w:r w:rsidR="000505D4">
        <w:rPr>
          <w:sz w:val="20"/>
          <w:szCs w:val="20"/>
          <w:lang w:val="en-US"/>
        </w:rPr>
        <w:t xml:space="preserve">consider that our participation in the E.C.H.E 2014-2015 serves our goal of linking education, research and entrepreneurship at regional level, Balkans and southeastern </w:t>
      </w:r>
      <w:smartTag w:uri="urn:schemas-microsoft-com:office:smarttags" w:element="place">
        <w:r w:rsidR="000505D4">
          <w:rPr>
            <w:sz w:val="20"/>
            <w:szCs w:val="20"/>
            <w:lang w:val="en-US"/>
          </w:rPr>
          <w:t>Europe</w:t>
        </w:r>
      </w:smartTag>
      <w:r w:rsidR="000505D4">
        <w:rPr>
          <w:sz w:val="20"/>
          <w:szCs w:val="20"/>
          <w:lang w:val="en-US"/>
        </w:rPr>
        <w:t>, giving our University and our city a main role, due to our geographic location.</w:t>
      </w:r>
    </w:p>
    <w:p w:rsidR="00EB235F" w:rsidRDefault="000505D4" w:rsidP="000505D4">
      <w:pPr>
        <w:jc w:val="both"/>
        <w:rPr>
          <w:lang w:val="en-US"/>
        </w:rPr>
      </w:pPr>
      <w:r>
        <w:rPr>
          <w:sz w:val="20"/>
          <w:szCs w:val="20"/>
          <w:lang w:val="en-US"/>
        </w:rPr>
        <w:t>Last but not least we estimate that we `ll accomplish all of the above by developing Erasmus funding.</w:t>
      </w:r>
    </w:p>
    <w:p w:rsidR="00DD5964" w:rsidRDefault="00DD5964">
      <w:pPr>
        <w:rPr>
          <w:lang w:val="en-US"/>
        </w:rPr>
      </w:pPr>
    </w:p>
    <w:p w:rsidR="00DD5964" w:rsidRPr="00DD5964" w:rsidRDefault="00CE5C65" w:rsidP="00DD5964">
      <w:pPr>
        <w:rPr>
          <w:lang w:val="en-US"/>
        </w:rPr>
      </w:pPr>
      <w:r>
        <w:rPr>
          <w:noProof/>
        </w:rPr>
        <w:drawing>
          <wp:inline distT="0" distB="0" distL="0" distR="0">
            <wp:extent cx="5270500" cy="327660"/>
            <wp:effectExtent l="19050" t="0" r="635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5270500" cy="327660"/>
                    </a:xfrm>
                    <a:prstGeom prst="rect">
                      <a:avLst/>
                    </a:prstGeom>
                    <a:noFill/>
                    <a:ln w="9525">
                      <a:noFill/>
                      <a:miter lim="800000"/>
                      <a:headEnd/>
                      <a:tailEnd/>
                    </a:ln>
                  </pic:spPr>
                </pic:pic>
              </a:graphicData>
            </a:graphic>
          </wp:inline>
        </w:drawing>
      </w:r>
    </w:p>
    <w:sectPr w:rsidR="00DD5964" w:rsidRPr="00DD596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rsids>
    <w:rsidRoot w:val="00DD5964"/>
    <w:rsid w:val="000505D4"/>
    <w:rsid w:val="00195A55"/>
    <w:rsid w:val="00306950"/>
    <w:rsid w:val="003F1084"/>
    <w:rsid w:val="00470BC9"/>
    <w:rsid w:val="007046B7"/>
    <w:rsid w:val="007D3144"/>
    <w:rsid w:val="008367C8"/>
    <w:rsid w:val="00AC3FB4"/>
    <w:rsid w:val="00CE5C65"/>
    <w:rsid w:val="00DD5964"/>
    <w:rsid w:val="00EB235F"/>
    <w:rsid w:val="00F6010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3028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lpstr>
    </vt:vector>
  </TitlesOfParts>
  <Company>home</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h.varesi</dc:creator>
  <cp:lastModifiedBy>chanioti</cp:lastModifiedBy>
  <cp:revision>2</cp:revision>
  <dcterms:created xsi:type="dcterms:W3CDTF">2019-01-17T07:01:00Z</dcterms:created>
  <dcterms:modified xsi:type="dcterms:W3CDTF">2019-01-17T07:01:00Z</dcterms:modified>
</cp:coreProperties>
</file>